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horzAnchor="page" w:tblpX="1147" w:tblpY="-2804"/>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19" w:type="dxa"/>
        </w:tblCellMar>
        <w:tblLook w:val="04A0" w:firstRow="1" w:lastRow="0" w:firstColumn="1" w:lastColumn="0" w:noHBand="0" w:noVBand="1"/>
      </w:tblPr>
      <w:tblGrid>
        <w:gridCol w:w="7196"/>
        <w:gridCol w:w="2852"/>
      </w:tblGrid>
      <w:tr w:rsidR="00085C24" w:rsidRPr="00C628E7" w:rsidTr="00085C24">
        <w:trPr>
          <w:trHeight w:val="2977"/>
        </w:trPr>
        <w:tc>
          <w:tcPr>
            <w:tcW w:w="7196" w:type="dxa"/>
          </w:tcPr>
          <w:p w:rsidR="00E9388A" w:rsidRPr="00C628E7" w:rsidRDefault="00CA13DC" w:rsidP="00CA13DC">
            <w:pPr>
              <w:spacing w:after="60"/>
              <w:ind w:left="119"/>
              <w:rPr>
                <w:rFonts w:ascii="Verdana" w:hAnsi="Verdana"/>
                <w:sz w:val="20"/>
                <w:szCs w:val="20"/>
                <w:lang w:val="da-DK"/>
              </w:rPr>
            </w:pPr>
            <w:r w:rsidRPr="00C628E7">
              <w:rPr>
                <w:rFonts w:ascii="Verdana" w:hAnsi="Verdana"/>
                <w:sz w:val="20"/>
                <w:szCs w:val="20"/>
                <w:lang w:val="da-DK"/>
              </w:rPr>
              <w:t>Neuropsykologisk afdeling</w:t>
            </w:r>
          </w:p>
          <w:p w:rsidR="009F2A67" w:rsidRPr="00C628E7" w:rsidRDefault="00AB72B6" w:rsidP="00AB72B6">
            <w:pPr>
              <w:spacing w:after="60"/>
              <w:ind w:left="119"/>
              <w:rPr>
                <w:rFonts w:ascii="Verdana" w:hAnsi="Verdana"/>
                <w:sz w:val="20"/>
                <w:szCs w:val="20"/>
                <w:lang w:val="da-DK"/>
              </w:rPr>
            </w:pPr>
            <w:r w:rsidRPr="00C628E7">
              <w:rPr>
                <w:rFonts w:ascii="Verdana" w:hAnsi="Verdana"/>
                <w:sz w:val="20"/>
                <w:szCs w:val="20"/>
                <w:lang w:val="da-DK"/>
              </w:rPr>
              <w:t xml:space="preserve">Den: </w:t>
            </w:r>
            <w:r w:rsidR="00CA13DC" w:rsidRPr="00C628E7">
              <w:rPr>
                <w:rFonts w:ascii="Verdana" w:hAnsi="Verdana"/>
                <w:sz w:val="20"/>
                <w:szCs w:val="20"/>
                <w:lang w:val="da-DK"/>
              </w:rPr>
              <w:t>18.03.2018</w:t>
            </w:r>
          </w:p>
          <w:p w:rsidR="009F2A67" w:rsidRPr="00C628E7" w:rsidRDefault="009F2A67" w:rsidP="009F2A67">
            <w:pPr>
              <w:spacing w:after="60"/>
              <w:ind w:left="119" w:right="-119"/>
              <w:rPr>
                <w:rFonts w:ascii="Verdana" w:hAnsi="Verdana"/>
                <w:sz w:val="20"/>
                <w:szCs w:val="20"/>
                <w:lang w:val="da-DK"/>
              </w:rPr>
            </w:pPr>
            <w:r w:rsidRPr="00C628E7">
              <w:rPr>
                <w:rFonts w:ascii="Verdana" w:hAnsi="Verdana"/>
                <w:sz w:val="20"/>
                <w:szCs w:val="20"/>
                <w:lang w:val="da-DK"/>
              </w:rPr>
              <w:t xml:space="preserve">Referent: </w:t>
            </w:r>
            <w:r w:rsidR="00CA13DC" w:rsidRPr="00C628E7">
              <w:rPr>
                <w:rFonts w:ascii="Verdana" w:hAnsi="Verdana"/>
                <w:sz w:val="20"/>
                <w:szCs w:val="20"/>
                <w:lang w:val="da-DK"/>
              </w:rPr>
              <w:t>Hemela</w:t>
            </w:r>
          </w:p>
          <w:p w:rsidR="0068468E" w:rsidRPr="00C628E7" w:rsidRDefault="0068468E" w:rsidP="009F2A67">
            <w:pPr>
              <w:ind w:left="119"/>
              <w:rPr>
                <w:rFonts w:ascii="Verdana" w:hAnsi="Verdana"/>
                <w:sz w:val="20"/>
                <w:szCs w:val="20"/>
                <w:lang w:val="da-DK"/>
              </w:rPr>
            </w:pPr>
          </w:p>
          <w:p w:rsidR="00A624EA" w:rsidRPr="00C628E7" w:rsidRDefault="00A624EA" w:rsidP="009F2A67">
            <w:pPr>
              <w:spacing w:after="60"/>
              <w:rPr>
                <w:rFonts w:ascii="Verdana" w:hAnsi="Verdana"/>
                <w:b/>
                <w:bCs/>
                <w:sz w:val="20"/>
                <w:szCs w:val="20"/>
                <w:lang w:val="da-DK"/>
              </w:rPr>
            </w:pPr>
          </w:p>
        </w:tc>
        <w:tc>
          <w:tcPr>
            <w:tcW w:w="2852" w:type="dxa"/>
          </w:tcPr>
          <w:p w:rsidR="00A624EA" w:rsidRPr="00C628E7" w:rsidRDefault="00A624EA" w:rsidP="009F2A67">
            <w:pPr>
              <w:spacing w:after="60" w:line="312" w:lineRule="auto"/>
              <w:ind w:right="-117"/>
              <w:rPr>
                <w:rFonts w:ascii="Verdana" w:hAnsi="Verdana"/>
                <w:b/>
                <w:bCs/>
                <w:sz w:val="20"/>
                <w:szCs w:val="20"/>
                <w:lang w:val="da-DK"/>
              </w:rPr>
            </w:pPr>
          </w:p>
        </w:tc>
      </w:tr>
    </w:tbl>
    <w:p w:rsidR="008819C5" w:rsidRPr="00C628E7" w:rsidRDefault="008819C5" w:rsidP="008819C5">
      <w:pPr>
        <w:rPr>
          <w:rFonts w:ascii="Verdana" w:hAnsi="Verdana"/>
          <w:sz w:val="20"/>
          <w:szCs w:val="20"/>
        </w:rPr>
      </w:pPr>
      <w:bookmarkStart w:id="0" w:name="_GoBack"/>
    </w:p>
    <w:tbl>
      <w:tblPr>
        <w:tblW w:w="0" w:type="auto"/>
        <w:tblInd w:w="-108" w:type="dxa"/>
        <w:tblBorders>
          <w:top w:val="nil"/>
          <w:left w:val="nil"/>
          <w:bottom w:val="nil"/>
          <w:right w:val="nil"/>
        </w:tblBorders>
        <w:tblLayout w:type="fixed"/>
        <w:tblLook w:val="0000" w:firstRow="0" w:lastRow="0" w:firstColumn="0" w:lastColumn="0" w:noHBand="0" w:noVBand="0"/>
      </w:tblPr>
      <w:tblGrid>
        <w:gridCol w:w="2376"/>
        <w:gridCol w:w="7040"/>
      </w:tblGrid>
      <w:tr w:rsidR="0010223C" w:rsidRPr="00C628E7" w:rsidTr="004B21F0">
        <w:trPr>
          <w:trHeight w:val="99"/>
        </w:trPr>
        <w:tc>
          <w:tcPr>
            <w:tcW w:w="2376" w:type="dxa"/>
          </w:tcPr>
          <w:bookmarkEnd w:id="0"/>
          <w:p w:rsidR="0010223C" w:rsidRPr="00C628E7" w:rsidRDefault="0010223C" w:rsidP="004B21F0">
            <w:pPr>
              <w:pStyle w:val="Default"/>
              <w:rPr>
                <w:rFonts w:ascii="Verdana" w:hAnsi="Verdana" w:cs="Arial"/>
                <w:b/>
                <w:bCs/>
                <w:color w:val="auto"/>
                <w:sz w:val="20"/>
                <w:szCs w:val="20"/>
              </w:rPr>
            </w:pPr>
            <w:r w:rsidRPr="00C628E7">
              <w:rPr>
                <w:rFonts w:ascii="Verdana" w:hAnsi="Verdana" w:cs="Arial"/>
                <w:b/>
                <w:bCs/>
                <w:color w:val="auto"/>
                <w:sz w:val="20"/>
                <w:szCs w:val="20"/>
              </w:rPr>
              <w:t>Oversigt</w:t>
            </w:r>
          </w:p>
          <w:p w:rsidR="0010223C" w:rsidRDefault="00C628E7" w:rsidP="004B21F0">
            <w:pPr>
              <w:pStyle w:val="Default"/>
              <w:rPr>
                <w:rFonts w:ascii="Verdana" w:hAnsi="Verdana" w:cs="Arial"/>
                <w:b/>
                <w:bCs/>
                <w:sz w:val="20"/>
                <w:szCs w:val="20"/>
              </w:rPr>
            </w:pPr>
            <w:r>
              <w:rPr>
                <w:rFonts w:ascii="Verdana" w:hAnsi="Verdana" w:cs="Arial"/>
                <w:b/>
                <w:bCs/>
                <w:color w:val="auto"/>
                <w:sz w:val="20"/>
                <w:szCs w:val="20"/>
              </w:rPr>
              <w:t>Over k</w:t>
            </w:r>
            <w:r w:rsidR="0010223C" w:rsidRPr="00C628E7">
              <w:rPr>
                <w:rFonts w:ascii="Verdana" w:hAnsi="Verdana" w:cs="Arial"/>
                <w:b/>
                <w:bCs/>
                <w:sz w:val="20"/>
                <w:szCs w:val="20"/>
              </w:rPr>
              <w:t xml:space="preserve">lageinstanser </w:t>
            </w:r>
          </w:p>
          <w:p w:rsidR="00C628E7" w:rsidRPr="00C628E7" w:rsidRDefault="00C628E7" w:rsidP="004B21F0">
            <w:pPr>
              <w:pStyle w:val="Default"/>
              <w:rPr>
                <w:rFonts w:ascii="Verdana" w:hAnsi="Verdana" w:cs="Arial"/>
                <w:b/>
                <w:bCs/>
                <w:sz w:val="20"/>
                <w:szCs w:val="20"/>
              </w:rPr>
            </w:pPr>
          </w:p>
          <w:p w:rsidR="0010223C" w:rsidRPr="00C628E7" w:rsidRDefault="0010223C" w:rsidP="004B21F0">
            <w:pPr>
              <w:pStyle w:val="Default"/>
              <w:rPr>
                <w:rFonts w:ascii="Verdana" w:hAnsi="Verdana" w:cs="Arial"/>
                <w:sz w:val="20"/>
                <w:szCs w:val="20"/>
              </w:rPr>
            </w:pPr>
          </w:p>
        </w:tc>
        <w:tc>
          <w:tcPr>
            <w:tcW w:w="7040" w:type="dxa"/>
          </w:tcPr>
          <w:p w:rsidR="0010223C" w:rsidRPr="00C628E7" w:rsidRDefault="0010223C" w:rsidP="004B21F0">
            <w:pPr>
              <w:pStyle w:val="Default"/>
              <w:rPr>
                <w:rFonts w:ascii="Verdana" w:hAnsi="Verdana" w:cs="Arial"/>
                <w:b/>
                <w:bCs/>
                <w:sz w:val="20"/>
                <w:szCs w:val="20"/>
              </w:rPr>
            </w:pPr>
          </w:p>
          <w:p w:rsidR="0010223C" w:rsidRPr="00C628E7" w:rsidRDefault="0010223C" w:rsidP="004B21F0">
            <w:pPr>
              <w:pStyle w:val="Default"/>
              <w:rPr>
                <w:rFonts w:ascii="Verdana" w:hAnsi="Verdana" w:cs="Arial"/>
                <w:b/>
                <w:bCs/>
                <w:sz w:val="20"/>
                <w:szCs w:val="20"/>
              </w:rPr>
            </w:pPr>
          </w:p>
          <w:p w:rsidR="0010223C" w:rsidRPr="00C628E7" w:rsidRDefault="0010223C" w:rsidP="004B21F0">
            <w:pPr>
              <w:pStyle w:val="Default"/>
              <w:rPr>
                <w:rFonts w:ascii="Verdana" w:hAnsi="Verdana" w:cs="Arial"/>
                <w:b/>
                <w:bCs/>
                <w:sz w:val="20"/>
                <w:szCs w:val="20"/>
              </w:rPr>
            </w:pPr>
          </w:p>
          <w:p w:rsidR="0010223C" w:rsidRPr="00C628E7" w:rsidRDefault="0010223C" w:rsidP="004B21F0">
            <w:pPr>
              <w:pStyle w:val="Default"/>
              <w:rPr>
                <w:rFonts w:ascii="Verdana" w:hAnsi="Verdana" w:cs="Arial"/>
                <w:sz w:val="20"/>
                <w:szCs w:val="20"/>
              </w:rPr>
            </w:pPr>
            <w:r w:rsidRPr="00C628E7">
              <w:rPr>
                <w:rFonts w:ascii="Verdana" w:hAnsi="Verdana" w:cs="Arial"/>
                <w:b/>
                <w:bCs/>
                <w:sz w:val="20"/>
                <w:szCs w:val="20"/>
              </w:rPr>
              <w:t xml:space="preserve">Klageregler m.v. </w:t>
            </w:r>
          </w:p>
        </w:tc>
      </w:tr>
      <w:tr w:rsidR="0010223C" w:rsidRPr="00C628E7" w:rsidTr="004B21F0">
        <w:trPr>
          <w:trHeight w:val="419"/>
        </w:trPr>
        <w:tc>
          <w:tcPr>
            <w:tcW w:w="2376" w:type="dxa"/>
          </w:tcPr>
          <w:p w:rsidR="0010223C" w:rsidRPr="00C628E7" w:rsidRDefault="0010223C" w:rsidP="004B21F0">
            <w:pPr>
              <w:pStyle w:val="Default"/>
              <w:rPr>
                <w:rFonts w:ascii="Verdana" w:hAnsi="Verdana" w:cs="Arial"/>
                <w:b/>
                <w:sz w:val="20"/>
                <w:szCs w:val="20"/>
              </w:rPr>
            </w:pPr>
            <w:r w:rsidRPr="00C628E7">
              <w:rPr>
                <w:rFonts w:ascii="Verdana" w:hAnsi="Verdana" w:cs="Arial"/>
                <w:b/>
                <w:sz w:val="20"/>
                <w:szCs w:val="20"/>
              </w:rPr>
              <w:t xml:space="preserve">Klage til </w:t>
            </w:r>
          </w:p>
          <w:p w:rsidR="0010223C" w:rsidRPr="00C628E7" w:rsidRDefault="0010223C" w:rsidP="004B21F0">
            <w:pPr>
              <w:pStyle w:val="Default"/>
              <w:rPr>
                <w:rFonts w:ascii="Verdana" w:hAnsi="Verdana" w:cs="Arial"/>
                <w:b/>
                <w:sz w:val="20"/>
                <w:szCs w:val="20"/>
              </w:rPr>
            </w:pPr>
            <w:r w:rsidRPr="00C628E7">
              <w:rPr>
                <w:rFonts w:ascii="Verdana" w:hAnsi="Verdana" w:cs="Arial"/>
                <w:b/>
                <w:sz w:val="20"/>
                <w:szCs w:val="20"/>
              </w:rPr>
              <w:t xml:space="preserve">Borgmesteren over </w:t>
            </w:r>
          </w:p>
          <w:p w:rsidR="0010223C" w:rsidRPr="00C628E7" w:rsidRDefault="0010223C" w:rsidP="004B21F0">
            <w:pPr>
              <w:pStyle w:val="Default"/>
              <w:rPr>
                <w:rFonts w:ascii="Verdana" w:hAnsi="Verdana" w:cs="Arial"/>
                <w:sz w:val="20"/>
                <w:szCs w:val="20"/>
              </w:rPr>
            </w:pPr>
            <w:r w:rsidRPr="00C628E7">
              <w:rPr>
                <w:rFonts w:ascii="Verdana" w:hAnsi="Verdana" w:cs="Arial"/>
                <w:b/>
                <w:sz w:val="20"/>
                <w:szCs w:val="20"/>
              </w:rPr>
              <w:t>sagsbehandlingen</w:t>
            </w:r>
            <w:r w:rsidRPr="00C628E7">
              <w:rPr>
                <w:rFonts w:ascii="Verdana" w:hAnsi="Verdana" w:cs="Arial"/>
                <w:sz w:val="20"/>
                <w:szCs w:val="20"/>
              </w:rPr>
              <w:t xml:space="preserve"> </w:t>
            </w:r>
          </w:p>
        </w:tc>
        <w:tc>
          <w:tcPr>
            <w:tcW w:w="7040" w:type="dxa"/>
          </w:tcPr>
          <w:p w:rsidR="0010223C" w:rsidRPr="00C628E7" w:rsidRDefault="0010223C" w:rsidP="004B21F0">
            <w:pPr>
              <w:pStyle w:val="Default"/>
              <w:rPr>
                <w:rFonts w:ascii="Verdana" w:hAnsi="Verdana" w:cs="Arial"/>
                <w:sz w:val="20"/>
                <w:szCs w:val="20"/>
              </w:rPr>
            </w:pPr>
            <w:r w:rsidRPr="00C628E7">
              <w:rPr>
                <w:rFonts w:ascii="Verdana" w:hAnsi="Verdana" w:cs="Arial"/>
                <w:sz w:val="20"/>
                <w:szCs w:val="20"/>
              </w:rPr>
              <w:t xml:space="preserve">Som leder af kommunens administration jf. § 31, stk. 3 i den kommunale styrelseslov har borgmesteren ansvaret for, at kommunens medarbejdere udfører deres arbejde i overensstemmelse med lovgivning m.v. Hvis en borger oplever, at administrationen ikke gør dette, kan borgeren klage til borgmesteren over sagsbehandlingen. </w:t>
            </w:r>
          </w:p>
          <w:p w:rsidR="0010223C" w:rsidRPr="00C628E7" w:rsidRDefault="0010223C" w:rsidP="004B21F0">
            <w:pPr>
              <w:pStyle w:val="Default"/>
              <w:rPr>
                <w:rFonts w:ascii="Verdana" w:hAnsi="Verdana" w:cs="Arial"/>
                <w:sz w:val="20"/>
                <w:szCs w:val="20"/>
              </w:rPr>
            </w:pPr>
          </w:p>
          <w:p w:rsidR="0010223C" w:rsidRPr="00C628E7" w:rsidRDefault="0010223C" w:rsidP="004B21F0">
            <w:pPr>
              <w:pStyle w:val="Default"/>
              <w:rPr>
                <w:rFonts w:ascii="Verdana" w:hAnsi="Verdana" w:cs="Arial"/>
                <w:sz w:val="20"/>
                <w:szCs w:val="20"/>
              </w:rPr>
            </w:pPr>
          </w:p>
        </w:tc>
      </w:tr>
      <w:tr w:rsidR="0010223C" w:rsidRPr="00C628E7" w:rsidTr="004B21F0">
        <w:trPr>
          <w:trHeight w:val="1546"/>
        </w:trPr>
        <w:tc>
          <w:tcPr>
            <w:tcW w:w="2376" w:type="dxa"/>
          </w:tcPr>
          <w:p w:rsidR="0010223C" w:rsidRPr="00C628E7" w:rsidRDefault="0010223C" w:rsidP="004B21F0">
            <w:pPr>
              <w:pStyle w:val="Default"/>
              <w:rPr>
                <w:rFonts w:ascii="Verdana" w:hAnsi="Verdana" w:cs="Arial"/>
                <w:b/>
                <w:sz w:val="20"/>
                <w:szCs w:val="20"/>
              </w:rPr>
            </w:pPr>
            <w:r w:rsidRPr="00C628E7">
              <w:rPr>
                <w:rFonts w:ascii="Verdana" w:hAnsi="Verdana" w:cs="Arial"/>
                <w:b/>
                <w:sz w:val="20"/>
                <w:szCs w:val="20"/>
              </w:rPr>
              <w:t xml:space="preserve">Klage til </w:t>
            </w:r>
          </w:p>
          <w:p w:rsidR="0010223C" w:rsidRPr="00C628E7" w:rsidRDefault="0010223C" w:rsidP="004B21F0">
            <w:pPr>
              <w:pStyle w:val="Default"/>
              <w:rPr>
                <w:rFonts w:ascii="Verdana" w:hAnsi="Verdana" w:cs="Arial"/>
                <w:b/>
                <w:sz w:val="20"/>
                <w:szCs w:val="20"/>
              </w:rPr>
            </w:pPr>
            <w:r w:rsidRPr="00C628E7">
              <w:rPr>
                <w:rFonts w:ascii="Verdana" w:hAnsi="Verdana" w:cs="Arial"/>
                <w:b/>
                <w:sz w:val="20"/>
                <w:szCs w:val="20"/>
              </w:rPr>
              <w:t xml:space="preserve">Ankestyrelsen over </w:t>
            </w:r>
          </w:p>
          <w:p w:rsidR="0010223C" w:rsidRPr="00C628E7" w:rsidRDefault="0010223C" w:rsidP="004B21F0">
            <w:pPr>
              <w:pStyle w:val="Default"/>
              <w:rPr>
                <w:rFonts w:ascii="Verdana" w:hAnsi="Verdana" w:cs="Arial"/>
                <w:sz w:val="20"/>
                <w:szCs w:val="20"/>
              </w:rPr>
            </w:pPr>
            <w:r w:rsidRPr="00C628E7">
              <w:rPr>
                <w:rFonts w:ascii="Verdana" w:hAnsi="Verdana" w:cs="Arial"/>
                <w:b/>
                <w:sz w:val="20"/>
                <w:szCs w:val="20"/>
              </w:rPr>
              <w:t>en afgørelse</w:t>
            </w:r>
            <w:r w:rsidRPr="00C628E7">
              <w:rPr>
                <w:rFonts w:ascii="Verdana" w:hAnsi="Verdana" w:cs="Arial"/>
                <w:sz w:val="20"/>
                <w:szCs w:val="20"/>
              </w:rPr>
              <w:t xml:space="preserve"> </w:t>
            </w:r>
          </w:p>
        </w:tc>
        <w:tc>
          <w:tcPr>
            <w:tcW w:w="7040" w:type="dxa"/>
          </w:tcPr>
          <w:p w:rsidR="0010223C" w:rsidRPr="00C628E7" w:rsidRDefault="0010223C" w:rsidP="004B21F0">
            <w:pPr>
              <w:pStyle w:val="Default"/>
              <w:rPr>
                <w:rFonts w:ascii="Verdana" w:hAnsi="Verdana" w:cs="Arial"/>
                <w:sz w:val="20"/>
                <w:szCs w:val="20"/>
              </w:rPr>
            </w:pPr>
            <w:r w:rsidRPr="00C628E7">
              <w:rPr>
                <w:rFonts w:ascii="Verdana" w:hAnsi="Verdana" w:cs="Arial"/>
                <w:sz w:val="20"/>
                <w:szCs w:val="20"/>
              </w:rPr>
              <w:t xml:space="preserve">Det fremgår af retssikkerhedsloven, at; </w:t>
            </w:r>
          </w:p>
          <w:p w:rsidR="0010223C" w:rsidRPr="00C628E7" w:rsidRDefault="0010223C" w:rsidP="0010223C">
            <w:pPr>
              <w:pStyle w:val="Default"/>
              <w:numPr>
                <w:ilvl w:val="0"/>
                <w:numId w:val="16"/>
              </w:numPr>
              <w:rPr>
                <w:rFonts w:ascii="Verdana" w:hAnsi="Verdana" w:cs="Arial"/>
                <w:sz w:val="20"/>
                <w:szCs w:val="20"/>
              </w:rPr>
            </w:pPr>
            <w:r w:rsidRPr="00C628E7">
              <w:rPr>
                <w:rFonts w:ascii="Verdana" w:hAnsi="Verdana" w:cs="Arial"/>
                <w:sz w:val="20"/>
                <w:szCs w:val="20"/>
              </w:rPr>
              <w:t xml:space="preserve">Når det fremgår af lovgivningen, kan kommunalbestyrelsens, herunder jobcenterets, afgørelser indbringes for Ankestyrelsen eller Ankestyrelsens Beskæftigelsesudvalg (§ 60, stk. 1), </w:t>
            </w:r>
          </w:p>
          <w:p w:rsidR="0010223C" w:rsidRPr="00C628E7" w:rsidRDefault="0010223C" w:rsidP="0010223C">
            <w:pPr>
              <w:pStyle w:val="Default"/>
              <w:numPr>
                <w:ilvl w:val="0"/>
                <w:numId w:val="16"/>
              </w:numPr>
              <w:rPr>
                <w:rFonts w:ascii="Verdana" w:hAnsi="Verdana" w:cs="Arial"/>
                <w:sz w:val="20"/>
                <w:szCs w:val="20"/>
              </w:rPr>
            </w:pPr>
            <w:r w:rsidRPr="00C628E7">
              <w:rPr>
                <w:rFonts w:ascii="Verdana" w:hAnsi="Verdana" w:cs="Arial"/>
                <w:sz w:val="20"/>
                <w:szCs w:val="20"/>
              </w:rPr>
              <w:t xml:space="preserve">Afgørelser om det generelle serviceniveau, herunder hvilke tilbud og pladser der skal være til rådighed i kommunen og takster for tilbuddene, </w:t>
            </w:r>
            <w:r w:rsidRPr="00C628E7">
              <w:rPr>
                <w:rFonts w:ascii="Verdana" w:hAnsi="Verdana" w:cs="Arial"/>
                <w:b/>
                <w:sz w:val="20"/>
                <w:szCs w:val="20"/>
              </w:rPr>
              <w:t>ikke kan</w:t>
            </w:r>
            <w:r w:rsidRPr="00C628E7">
              <w:rPr>
                <w:rFonts w:ascii="Verdana" w:hAnsi="Verdana" w:cs="Arial"/>
                <w:sz w:val="20"/>
                <w:szCs w:val="20"/>
              </w:rPr>
              <w:t xml:space="preserve"> indbringes for Ankestyrelsen (§ 60, stk. 3), </w:t>
            </w:r>
          </w:p>
          <w:p w:rsidR="0010223C" w:rsidRPr="00C628E7" w:rsidRDefault="0010223C" w:rsidP="0010223C">
            <w:pPr>
              <w:pStyle w:val="Default"/>
              <w:numPr>
                <w:ilvl w:val="0"/>
                <w:numId w:val="16"/>
              </w:numPr>
              <w:rPr>
                <w:rFonts w:ascii="Verdana" w:hAnsi="Verdana" w:cs="Arial"/>
                <w:sz w:val="20"/>
                <w:szCs w:val="20"/>
              </w:rPr>
            </w:pPr>
            <w:r w:rsidRPr="00C628E7">
              <w:rPr>
                <w:rFonts w:ascii="Verdana" w:hAnsi="Verdana" w:cs="Arial"/>
                <w:sz w:val="20"/>
                <w:szCs w:val="20"/>
              </w:rPr>
              <w:t xml:space="preserve">Klage til Ankestyrelsen som hovedregel skal ske inden 4 uger efter, at klageren har fået meddelelse om afgørelsen (§ 67), </w:t>
            </w:r>
          </w:p>
          <w:p w:rsidR="0010223C" w:rsidRPr="00C628E7" w:rsidRDefault="0010223C" w:rsidP="0010223C">
            <w:pPr>
              <w:pStyle w:val="Default"/>
              <w:numPr>
                <w:ilvl w:val="0"/>
                <w:numId w:val="16"/>
              </w:numPr>
              <w:rPr>
                <w:rFonts w:ascii="Verdana" w:hAnsi="Verdana" w:cs="Arial"/>
                <w:sz w:val="20"/>
                <w:szCs w:val="20"/>
              </w:rPr>
            </w:pPr>
            <w:r w:rsidRPr="00C628E7">
              <w:rPr>
                <w:rFonts w:ascii="Verdana" w:hAnsi="Verdana" w:cs="Arial"/>
                <w:sz w:val="20"/>
                <w:szCs w:val="20"/>
              </w:rPr>
              <w:t xml:space="preserve">Ankestyrelsen ikke er bundet af parternes påstande og er uafhængig af instruktioner vedrørende afgørelsen af den enkelte sag (§ 68, stk. 1), </w:t>
            </w:r>
          </w:p>
          <w:p w:rsidR="0010223C" w:rsidRPr="00C628E7" w:rsidRDefault="0010223C" w:rsidP="0010223C">
            <w:pPr>
              <w:pStyle w:val="Default"/>
              <w:numPr>
                <w:ilvl w:val="0"/>
                <w:numId w:val="16"/>
              </w:numPr>
              <w:rPr>
                <w:rFonts w:ascii="Verdana" w:hAnsi="Verdana" w:cs="Arial"/>
                <w:sz w:val="20"/>
                <w:szCs w:val="20"/>
              </w:rPr>
            </w:pPr>
            <w:r w:rsidRPr="00C628E7">
              <w:rPr>
                <w:rFonts w:ascii="Verdana" w:hAnsi="Verdana" w:cs="Arial"/>
                <w:sz w:val="20"/>
                <w:szCs w:val="20"/>
              </w:rPr>
              <w:t xml:space="preserve">Ankestyrelsens afgørelse kan gå ud på afvisning, stadfæstelse, hjemvisning, ophævelse eller ændring af den afgørelse, der er klaget over (§ 68, stk. 2), </w:t>
            </w:r>
          </w:p>
          <w:p w:rsidR="0010223C" w:rsidRPr="00C628E7" w:rsidRDefault="0010223C" w:rsidP="0010223C">
            <w:pPr>
              <w:pStyle w:val="Default"/>
              <w:numPr>
                <w:ilvl w:val="0"/>
                <w:numId w:val="16"/>
              </w:numPr>
              <w:rPr>
                <w:rFonts w:ascii="Verdana" w:hAnsi="Verdana" w:cs="Arial"/>
                <w:sz w:val="20"/>
                <w:szCs w:val="20"/>
              </w:rPr>
            </w:pPr>
            <w:r w:rsidRPr="00C628E7">
              <w:rPr>
                <w:rFonts w:ascii="Verdana" w:hAnsi="Verdana" w:cs="Arial"/>
                <w:sz w:val="20"/>
                <w:szCs w:val="20"/>
              </w:rPr>
              <w:t xml:space="preserve">Ankestyrelsen kan efterprøve retlige spørgsmål (§ 69). </w:t>
            </w:r>
          </w:p>
          <w:p w:rsidR="0010223C" w:rsidRPr="00C628E7" w:rsidRDefault="0010223C" w:rsidP="004B21F0">
            <w:pPr>
              <w:pStyle w:val="Default"/>
              <w:rPr>
                <w:rFonts w:ascii="Verdana" w:hAnsi="Verdana" w:cs="Arial"/>
                <w:sz w:val="20"/>
                <w:szCs w:val="20"/>
              </w:rPr>
            </w:pPr>
            <w:r w:rsidRPr="00C628E7">
              <w:rPr>
                <w:rFonts w:ascii="Verdana" w:hAnsi="Verdana" w:cs="Arial"/>
                <w:sz w:val="20"/>
                <w:szCs w:val="20"/>
              </w:rPr>
              <w:t xml:space="preserve">Se også Ankestyrelsens hjemmeside: ”Sådan behandler vi din klagesag”. </w:t>
            </w:r>
          </w:p>
          <w:p w:rsidR="0010223C" w:rsidRPr="00C628E7" w:rsidRDefault="0010223C" w:rsidP="004B21F0">
            <w:pPr>
              <w:pStyle w:val="Default"/>
              <w:rPr>
                <w:rFonts w:ascii="Verdana" w:hAnsi="Verdana" w:cs="Arial"/>
                <w:sz w:val="20"/>
                <w:szCs w:val="20"/>
              </w:rPr>
            </w:pPr>
          </w:p>
          <w:p w:rsidR="0010223C" w:rsidRPr="00C628E7" w:rsidRDefault="0010223C" w:rsidP="004B21F0">
            <w:pPr>
              <w:pStyle w:val="Default"/>
              <w:rPr>
                <w:rFonts w:ascii="Verdana" w:hAnsi="Verdana" w:cs="Arial"/>
                <w:sz w:val="20"/>
                <w:szCs w:val="20"/>
              </w:rPr>
            </w:pPr>
          </w:p>
        </w:tc>
      </w:tr>
      <w:tr w:rsidR="0010223C" w:rsidRPr="00C628E7" w:rsidTr="004B21F0">
        <w:trPr>
          <w:trHeight w:val="1656"/>
        </w:trPr>
        <w:tc>
          <w:tcPr>
            <w:tcW w:w="2376" w:type="dxa"/>
          </w:tcPr>
          <w:p w:rsidR="0010223C" w:rsidRPr="00C628E7" w:rsidRDefault="0010223C" w:rsidP="004B21F0">
            <w:pPr>
              <w:pStyle w:val="Default"/>
              <w:rPr>
                <w:rFonts w:ascii="Verdana" w:hAnsi="Verdana" w:cs="Arial"/>
                <w:b/>
                <w:sz w:val="20"/>
                <w:szCs w:val="20"/>
              </w:rPr>
            </w:pPr>
            <w:r w:rsidRPr="00C628E7">
              <w:rPr>
                <w:rFonts w:ascii="Verdana" w:hAnsi="Verdana" w:cs="Arial"/>
                <w:b/>
                <w:sz w:val="20"/>
                <w:szCs w:val="20"/>
              </w:rPr>
              <w:t xml:space="preserve">Klage til tilsynet </w:t>
            </w:r>
          </w:p>
        </w:tc>
        <w:tc>
          <w:tcPr>
            <w:tcW w:w="7040" w:type="dxa"/>
          </w:tcPr>
          <w:p w:rsidR="0010223C" w:rsidRPr="00C628E7" w:rsidRDefault="0010223C" w:rsidP="004B21F0">
            <w:pPr>
              <w:pStyle w:val="Default"/>
              <w:rPr>
                <w:rFonts w:ascii="Verdana" w:hAnsi="Verdana" w:cs="Arial"/>
                <w:sz w:val="20"/>
                <w:szCs w:val="20"/>
              </w:rPr>
            </w:pPr>
            <w:r w:rsidRPr="00C628E7">
              <w:rPr>
                <w:rFonts w:ascii="Verdana" w:hAnsi="Verdana" w:cs="Arial"/>
                <w:sz w:val="20"/>
                <w:szCs w:val="20"/>
              </w:rPr>
              <w:t xml:space="preserve">Det fremgår bl.a. af den kommunale styrelseslov, at; </w:t>
            </w:r>
          </w:p>
          <w:p w:rsidR="0010223C" w:rsidRPr="00C628E7" w:rsidRDefault="0010223C" w:rsidP="0010223C">
            <w:pPr>
              <w:pStyle w:val="Default"/>
              <w:numPr>
                <w:ilvl w:val="0"/>
                <w:numId w:val="17"/>
              </w:numPr>
              <w:rPr>
                <w:rFonts w:ascii="Verdana" w:hAnsi="Verdana" w:cs="Arial"/>
                <w:sz w:val="20"/>
                <w:szCs w:val="20"/>
              </w:rPr>
            </w:pPr>
            <w:r w:rsidRPr="00C628E7">
              <w:rPr>
                <w:rFonts w:ascii="Verdana" w:hAnsi="Verdana" w:cs="Arial"/>
                <w:sz w:val="20"/>
                <w:szCs w:val="20"/>
              </w:rPr>
              <w:t xml:space="preserve">Ankestyrelsen ikke fører tilsyn, i det omfang særlige klage- eller tilsynsmyndigheder kan tage stilling til den pågældende sag (§ 48), </w:t>
            </w:r>
          </w:p>
          <w:p w:rsidR="0010223C" w:rsidRPr="00C628E7" w:rsidRDefault="0010223C" w:rsidP="0010223C">
            <w:pPr>
              <w:pStyle w:val="Default"/>
              <w:numPr>
                <w:ilvl w:val="0"/>
                <w:numId w:val="17"/>
              </w:numPr>
              <w:rPr>
                <w:rFonts w:ascii="Verdana" w:hAnsi="Verdana" w:cs="Arial"/>
                <w:sz w:val="20"/>
                <w:szCs w:val="20"/>
              </w:rPr>
            </w:pPr>
            <w:r w:rsidRPr="00C628E7">
              <w:rPr>
                <w:rFonts w:ascii="Verdana" w:hAnsi="Verdana" w:cs="Arial"/>
                <w:sz w:val="20"/>
                <w:szCs w:val="20"/>
              </w:rPr>
              <w:t xml:space="preserve">Ankestyrelsen beslutter (ingen frist), om der er tilstrækkelig anledning til at rejse en tilsynssag (§ 48 a), </w:t>
            </w:r>
          </w:p>
          <w:p w:rsidR="0010223C" w:rsidRPr="00C628E7" w:rsidRDefault="0010223C" w:rsidP="0010223C">
            <w:pPr>
              <w:pStyle w:val="Default"/>
              <w:numPr>
                <w:ilvl w:val="0"/>
                <w:numId w:val="17"/>
              </w:numPr>
              <w:rPr>
                <w:rFonts w:ascii="Verdana" w:hAnsi="Verdana" w:cs="Arial"/>
                <w:sz w:val="20"/>
                <w:szCs w:val="20"/>
              </w:rPr>
            </w:pPr>
            <w:r w:rsidRPr="00C628E7">
              <w:rPr>
                <w:rFonts w:ascii="Verdana" w:hAnsi="Verdana" w:cs="Arial"/>
                <w:sz w:val="20"/>
                <w:szCs w:val="20"/>
              </w:rPr>
              <w:lastRenderedPageBreak/>
              <w:t xml:space="preserve">Ankestyrelsen kan udtale sig om lovligheden af kommunale dispositioner eller undladelser (§ 50), </w:t>
            </w:r>
          </w:p>
          <w:p w:rsidR="0010223C" w:rsidRPr="00C628E7" w:rsidRDefault="0010223C" w:rsidP="0010223C">
            <w:pPr>
              <w:pStyle w:val="Default"/>
              <w:numPr>
                <w:ilvl w:val="0"/>
                <w:numId w:val="17"/>
              </w:numPr>
              <w:rPr>
                <w:rFonts w:ascii="Verdana" w:hAnsi="Verdana" w:cs="Arial"/>
                <w:sz w:val="20"/>
                <w:szCs w:val="20"/>
              </w:rPr>
            </w:pPr>
            <w:r w:rsidRPr="00C628E7">
              <w:rPr>
                <w:rFonts w:ascii="Verdana" w:hAnsi="Verdana" w:cs="Arial"/>
                <w:sz w:val="20"/>
                <w:szCs w:val="20"/>
              </w:rPr>
              <w:t xml:space="preserve">Har kommunalbestyrelsen truffet en beslutning, der strider mod lovgivningen, kan Ankestyrelsen sætte beslutningen ud af kraft (§ 50 a), </w:t>
            </w:r>
          </w:p>
          <w:p w:rsidR="0010223C" w:rsidRPr="00C628E7" w:rsidRDefault="0010223C" w:rsidP="0010223C">
            <w:pPr>
              <w:pStyle w:val="Default"/>
              <w:numPr>
                <w:ilvl w:val="0"/>
                <w:numId w:val="17"/>
              </w:numPr>
              <w:rPr>
                <w:rFonts w:ascii="Verdana" w:hAnsi="Verdana" w:cs="Arial"/>
                <w:sz w:val="20"/>
                <w:szCs w:val="20"/>
              </w:rPr>
            </w:pPr>
            <w:r w:rsidRPr="00C628E7">
              <w:rPr>
                <w:rFonts w:ascii="Verdana" w:hAnsi="Verdana" w:cs="Arial"/>
                <w:sz w:val="20"/>
                <w:szCs w:val="20"/>
              </w:rPr>
              <w:t xml:space="preserve">Undlader kommunalbestyrelsen at udføre en foranstaltning, som den efter lovgivningen har pligt til at udføre, kan Ankestyrelsen pålægge de medlemmer af kommunalbestyrelsen, som er ansvarlige for undladelsen, tvangsbøder (§ 50 b). </w:t>
            </w:r>
          </w:p>
          <w:p w:rsidR="0010223C" w:rsidRPr="00C628E7" w:rsidRDefault="0010223C" w:rsidP="0010223C">
            <w:pPr>
              <w:pStyle w:val="Default"/>
              <w:numPr>
                <w:ilvl w:val="0"/>
                <w:numId w:val="17"/>
              </w:numPr>
              <w:rPr>
                <w:rFonts w:ascii="Verdana" w:hAnsi="Verdana" w:cs="Arial"/>
                <w:sz w:val="20"/>
                <w:szCs w:val="20"/>
              </w:rPr>
            </w:pPr>
            <w:r w:rsidRPr="00C628E7">
              <w:rPr>
                <w:rFonts w:ascii="Verdana" w:hAnsi="Verdana" w:cs="Arial"/>
                <w:sz w:val="20"/>
                <w:szCs w:val="20"/>
              </w:rPr>
              <w:t xml:space="preserve">Ankestyrelsens afgørelser om anvendelse af de foranstaltninger, der er nævnt i bl.a. § 50 a og § 50 b, kan af de organer eller medlemmer, foranstaltningen er rettet imod, indbringes for økonomi- og indenrigsministeren (§ 52). </w:t>
            </w:r>
          </w:p>
          <w:p w:rsidR="0010223C" w:rsidRPr="00C628E7" w:rsidRDefault="0010223C" w:rsidP="004B21F0">
            <w:pPr>
              <w:pStyle w:val="Default"/>
              <w:rPr>
                <w:rFonts w:ascii="Verdana" w:hAnsi="Verdana" w:cs="Arial"/>
                <w:sz w:val="20"/>
                <w:szCs w:val="20"/>
              </w:rPr>
            </w:pPr>
            <w:r w:rsidRPr="00C628E7">
              <w:rPr>
                <w:rFonts w:ascii="Verdana" w:hAnsi="Verdana" w:cs="Arial"/>
                <w:sz w:val="20"/>
                <w:szCs w:val="20"/>
              </w:rPr>
              <w:t xml:space="preserve">Se også tilsynets hjemmeside: Sådan behandler tilsynet en sag. </w:t>
            </w:r>
          </w:p>
          <w:p w:rsidR="0010223C" w:rsidRPr="00C628E7" w:rsidRDefault="0010223C" w:rsidP="004B21F0">
            <w:pPr>
              <w:pStyle w:val="Default"/>
              <w:rPr>
                <w:rFonts w:ascii="Verdana" w:hAnsi="Verdana" w:cs="Arial"/>
                <w:sz w:val="20"/>
                <w:szCs w:val="20"/>
              </w:rPr>
            </w:pPr>
          </w:p>
          <w:p w:rsidR="0010223C" w:rsidRPr="00C628E7" w:rsidRDefault="0010223C" w:rsidP="004B21F0">
            <w:pPr>
              <w:pStyle w:val="Default"/>
              <w:rPr>
                <w:rFonts w:ascii="Verdana" w:hAnsi="Verdana" w:cs="Arial"/>
                <w:sz w:val="20"/>
                <w:szCs w:val="20"/>
              </w:rPr>
            </w:pPr>
          </w:p>
          <w:p w:rsidR="0010223C" w:rsidRPr="00C628E7" w:rsidRDefault="0010223C" w:rsidP="004B21F0">
            <w:pPr>
              <w:pStyle w:val="Default"/>
              <w:rPr>
                <w:rFonts w:ascii="Verdana" w:hAnsi="Verdana" w:cs="Arial"/>
                <w:sz w:val="20"/>
                <w:szCs w:val="20"/>
              </w:rPr>
            </w:pPr>
          </w:p>
          <w:p w:rsidR="0010223C" w:rsidRPr="00C628E7" w:rsidRDefault="0010223C" w:rsidP="004B21F0">
            <w:pPr>
              <w:pStyle w:val="Default"/>
              <w:rPr>
                <w:rFonts w:ascii="Verdana" w:hAnsi="Verdana" w:cs="Arial"/>
                <w:sz w:val="20"/>
                <w:szCs w:val="20"/>
              </w:rPr>
            </w:pPr>
          </w:p>
          <w:p w:rsidR="0010223C" w:rsidRPr="00C628E7" w:rsidRDefault="0010223C" w:rsidP="004B21F0">
            <w:pPr>
              <w:pStyle w:val="Default"/>
              <w:rPr>
                <w:rFonts w:ascii="Verdana" w:hAnsi="Verdana" w:cs="Arial"/>
                <w:sz w:val="20"/>
                <w:szCs w:val="20"/>
              </w:rPr>
            </w:pPr>
          </w:p>
          <w:p w:rsidR="0010223C" w:rsidRPr="00C628E7" w:rsidRDefault="0010223C" w:rsidP="004B21F0">
            <w:pPr>
              <w:pStyle w:val="Default"/>
              <w:rPr>
                <w:rFonts w:ascii="Verdana" w:hAnsi="Verdana" w:cs="Arial"/>
                <w:sz w:val="20"/>
                <w:szCs w:val="20"/>
              </w:rPr>
            </w:pPr>
          </w:p>
        </w:tc>
      </w:tr>
      <w:tr w:rsidR="0010223C" w:rsidRPr="00C628E7" w:rsidTr="004B21F0">
        <w:trPr>
          <w:trHeight w:val="1107"/>
        </w:trPr>
        <w:tc>
          <w:tcPr>
            <w:tcW w:w="2376" w:type="dxa"/>
          </w:tcPr>
          <w:p w:rsidR="0010223C" w:rsidRPr="00C628E7" w:rsidRDefault="0010223C" w:rsidP="004B21F0">
            <w:pPr>
              <w:pStyle w:val="Default"/>
              <w:rPr>
                <w:rFonts w:ascii="Verdana" w:hAnsi="Verdana" w:cs="Arial"/>
                <w:b/>
                <w:sz w:val="20"/>
                <w:szCs w:val="20"/>
              </w:rPr>
            </w:pPr>
            <w:r w:rsidRPr="00C628E7">
              <w:rPr>
                <w:rFonts w:ascii="Verdana" w:hAnsi="Verdana" w:cs="Arial"/>
                <w:b/>
                <w:sz w:val="20"/>
                <w:szCs w:val="20"/>
              </w:rPr>
              <w:lastRenderedPageBreak/>
              <w:t xml:space="preserve">Klage til Folketingets Ombudsmand </w:t>
            </w:r>
          </w:p>
        </w:tc>
        <w:tc>
          <w:tcPr>
            <w:tcW w:w="7040" w:type="dxa"/>
          </w:tcPr>
          <w:p w:rsidR="0010223C" w:rsidRPr="00C628E7" w:rsidRDefault="0010223C" w:rsidP="004B21F0">
            <w:pPr>
              <w:pStyle w:val="Default"/>
              <w:rPr>
                <w:rFonts w:ascii="Verdana" w:hAnsi="Verdana" w:cs="Arial"/>
                <w:sz w:val="20"/>
                <w:szCs w:val="20"/>
              </w:rPr>
            </w:pPr>
            <w:r w:rsidRPr="00C628E7">
              <w:rPr>
                <w:rFonts w:ascii="Verdana" w:hAnsi="Verdana" w:cs="Arial"/>
                <w:sz w:val="20"/>
                <w:szCs w:val="20"/>
              </w:rPr>
              <w:t xml:space="preserve">Det fremgår bl.a. af ombudsmandsloven, at; </w:t>
            </w:r>
          </w:p>
          <w:p w:rsidR="0010223C" w:rsidRPr="00C628E7" w:rsidRDefault="0010223C" w:rsidP="0010223C">
            <w:pPr>
              <w:pStyle w:val="Default"/>
              <w:numPr>
                <w:ilvl w:val="0"/>
                <w:numId w:val="18"/>
              </w:numPr>
              <w:rPr>
                <w:rFonts w:ascii="Verdana" w:hAnsi="Verdana" w:cs="Arial"/>
                <w:sz w:val="20"/>
                <w:szCs w:val="20"/>
              </w:rPr>
            </w:pPr>
            <w:r w:rsidRPr="00C628E7">
              <w:rPr>
                <w:rFonts w:ascii="Verdana" w:hAnsi="Verdana" w:cs="Arial"/>
                <w:sz w:val="20"/>
                <w:szCs w:val="20"/>
              </w:rPr>
              <w:t xml:space="preserve">En klage som hovedregel skal være indgivet inden et år efter, at forholdet er begået (§ 13, stk. 3 og 4), </w:t>
            </w:r>
          </w:p>
          <w:p w:rsidR="0010223C" w:rsidRPr="00C628E7" w:rsidRDefault="0010223C" w:rsidP="0010223C">
            <w:pPr>
              <w:pStyle w:val="Default"/>
              <w:numPr>
                <w:ilvl w:val="0"/>
                <w:numId w:val="18"/>
              </w:numPr>
              <w:rPr>
                <w:rFonts w:ascii="Verdana" w:hAnsi="Verdana" w:cs="Arial"/>
                <w:sz w:val="20"/>
                <w:szCs w:val="20"/>
              </w:rPr>
            </w:pPr>
            <w:r w:rsidRPr="00C628E7">
              <w:rPr>
                <w:rFonts w:ascii="Verdana" w:hAnsi="Verdana" w:cs="Arial"/>
                <w:sz w:val="20"/>
                <w:szCs w:val="20"/>
              </w:rPr>
              <w:t xml:space="preserve">Klage over forhold, der kan påklages til en anden forvaltningsmyndighed, ikke kan indgives, førend den anden forvaltningsmyndighed har truffet afgørelse (§ 14), </w:t>
            </w:r>
          </w:p>
          <w:p w:rsidR="0010223C" w:rsidRPr="00C628E7" w:rsidRDefault="0010223C" w:rsidP="0010223C">
            <w:pPr>
              <w:pStyle w:val="Default"/>
              <w:numPr>
                <w:ilvl w:val="0"/>
                <w:numId w:val="18"/>
              </w:numPr>
              <w:rPr>
                <w:rFonts w:ascii="Verdana" w:hAnsi="Verdana" w:cs="Arial"/>
                <w:sz w:val="20"/>
                <w:szCs w:val="20"/>
              </w:rPr>
            </w:pPr>
            <w:r w:rsidRPr="00C628E7">
              <w:rPr>
                <w:rFonts w:ascii="Verdana" w:hAnsi="Verdana" w:cs="Arial"/>
                <w:sz w:val="20"/>
                <w:szCs w:val="20"/>
              </w:rPr>
              <w:t xml:space="preserve">Ombudsmanden selv afgør, om en klage giver tilstrækkelig anledning til undersøgelse (§ 16, stk. 1), </w:t>
            </w:r>
          </w:p>
          <w:p w:rsidR="0010223C" w:rsidRPr="00C628E7" w:rsidRDefault="0010223C" w:rsidP="0010223C">
            <w:pPr>
              <w:pStyle w:val="Default"/>
              <w:numPr>
                <w:ilvl w:val="0"/>
                <w:numId w:val="18"/>
              </w:numPr>
              <w:rPr>
                <w:rFonts w:ascii="Verdana" w:hAnsi="Verdana" w:cs="Arial"/>
                <w:sz w:val="20"/>
                <w:szCs w:val="20"/>
              </w:rPr>
            </w:pPr>
            <w:r w:rsidRPr="00C628E7">
              <w:rPr>
                <w:rFonts w:ascii="Verdana" w:hAnsi="Verdana" w:cs="Arial"/>
                <w:sz w:val="20"/>
                <w:szCs w:val="20"/>
              </w:rPr>
              <w:t xml:space="preserve">Hvis en klage ikke giver ombudsmanden anledning til kritik, henstilling m.v., kan sagen afsluttes, uden at ombudsmanden forinden forelægger klagen til udtalelse for myndigheden (§ 16, stk. 2), </w:t>
            </w:r>
          </w:p>
          <w:p w:rsidR="0010223C" w:rsidRPr="00C628E7" w:rsidRDefault="0010223C" w:rsidP="0010223C">
            <w:pPr>
              <w:pStyle w:val="Default"/>
              <w:numPr>
                <w:ilvl w:val="0"/>
                <w:numId w:val="18"/>
              </w:numPr>
              <w:rPr>
                <w:rFonts w:ascii="Verdana" w:hAnsi="Verdana" w:cs="Arial"/>
                <w:sz w:val="20"/>
                <w:szCs w:val="20"/>
              </w:rPr>
            </w:pPr>
            <w:r w:rsidRPr="00C628E7">
              <w:rPr>
                <w:rFonts w:ascii="Verdana" w:hAnsi="Verdana" w:cs="Arial"/>
                <w:sz w:val="20"/>
                <w:szCs w:val="20"/>
              </w:rPr>
              <w:t xml:space="preserve">Ombudsmanden skal bedømme, om myndigheder eller personer handler i strid med gældende ret eller på anden måde gør sig skyldige i fejl eller forsømmelser ved udøvelsen af deres opgaver (§ 21), </w:t>
            </w:r>
          </w:p>
          <w:p w:rsidR="0010223C" w:rsidRPr="00C628E7" w:rsidRDefault="0010223C" w:rsidP="0010223C">
            <w:pPr>
              <w:pStyle w:val="Default"/>
              <w:numPr>
                <w:ilvl w:val="0"/>
                <w:numId w:val="18"/>
              </w:numPr>
              <w:rPr>
                <w:rFonts w:ascii="Verdana" w:hAnsi="Verdana" w:cs="Arial"/>
                <w:sz w:val="20"/>
                <w:szCs w:val="20"/>
              </w:rPr>
            </w:pPr>
            <w:r w:rsidRPr="00C628E7">
              <w:rPr>
                <w:rFonts w:ascii="Verdana" w:hAnsi="Verdana" w:cs="Arial"/>
                <w:sz w:val="20"/>
                <w:szCs w:val="20"/>
              </w:rPr>
              <w:t xml:space="preserve">Ombudsmanden kan fremsætte kritik, afgive henstillinger og fremsætte sin opfattelse af en sag (§ 22). </w:t>
            </w:r>
          </w:p>
          <w:p w:rsidR="0010223C" w:rsidRPr="00C628E7" w:rsidRDefault="0010223C" w:rsidP="0010223C">
            <w:pPr>
              <w:pStyle w:val="Default"/>
              <w:numPr>
                <w:ilvl w:val="0"/>
                <w:numId w:val="18"/>
              </w:numPr>
              <w:rPr>
                <w:rFonts w:ascii="Verdana" w:hAnsi="Verdana" w:cs="Arial"/>
                <w:sz w:val="20"/>
                <w:szCs w:val="20"/>
              </w:rPr>
            </w:pPr>
          </w:p>
          <w:p w:rsidR="0010223C" w:rsidRPr="00C628E7" w:rsidRDefault="0010223C" w:rsidP="004B21F0">
            <w:pPr>
              <w:pStyle w:val="Default"/>
              <w:rPr>
                <w:rFonts w:ascii="Verdana" w:hAnsi="Verdana" w:cs="Arial"/>
                <w:sz w:val="20"/>
                <w:szCs w:val="20"/>
              </w:rPr>
            </w:pPr>
          </w:p>
        </w:tc>
      </w:tr>
      <w:tr w:rsidR="0010223C" w:rsidRPr="00C628E7" w:rsidTr="004B21F0">
        <w:trPr>
          <w:trHeight w:val="199"/>
        </w:trPr>
        <w:tc>
          <w:tcPr>
            <w:tcW w:w="2376" w:type="dxa"/>
          </w:tcPr>
          <w:p w:rsidR="0010223C" w:rsidRPr="00C628E7" w:rsidRDefault="0010223C" w:rsidP="004B21F0">
            <w:pPr>
              <w:pStyle w:val="Default"/>
              <w:rPr>
                <w:rFonts w:ascii="Verdana" w:hAnsi="Verdana" w:cs="Arial"/>
                <w:b/>
                <w:sz w:val="20"/>
                <w:szCs w:val="20"/>
              </w:rPr>
            </w:pPr>
            <w:r w:rsidRPr="00C628E7">
              <w:rPr>
                <w:rFonts w:ascii="Verdana" w:hAnsi="Verdana" w:cs="Arial"/>
                <w:b/>
                <w:sz w:val="20"/>
                <w:szCs w:val="20"/>
              </w:rPr>
              <w:t xml:space="preserve">Anlægge sag ved domstolene </w:t>
            </w:r>
          </w:p>
        </w:tc>
        <w:tc>
          <w:tcPr>
            <w:tcW w:w="7040" w:type="dxa"/>
          </w:tcPr>
          <w:p w:rsidR="0010223C" w:rsidRPr="00C628E7" w:rsidRDefault="0010223C" w:rsidP="004B21F0">
            <w:pPr>
              <w:pStyle w:val="Default"/>
              <w:rPr>
                <w:rFonts w:ascii="Verdana" w:hAnsi="Verdana" w:cs="Arial"/>
                <w:sz w:val="20"/>
                <w:szCs w:val="20"/>
              </w:rPr>
            </w:pPr>
            <w:r w:rsidRPr="00C628E7">
              <w:rPr>
                <w:rFonts w:ascii="Verdana" w:hAnsi="Verdana" w:cs="Arial"/>
                <w:sz w:val="20"/>
                <w:szCs w:val="20"/>
              </w:rPr>
              <w:t xml:space="preserve">En borger, der er utilfreds med f.eks. en kommunes eller Ankestyrelsens afgørelse, kan til enhver tid anlægge retssag mod </w:t>
            </w:r>
            <w:r w:rsidRPr="00C628E7">
              <w:rPr>
                <w:rFonts w:ascii="Verdana" w:hAnsi="Verdana" w:cs="Arial"/>
                <w:sz w:val="20"/>
                <w:szCs w:val="20"/>
              </w:rPr>
              <w:lastRenderedPageBreak/>
              <w:t xml:space="preserve">disse instanser for at få en dom i sagen. Læs evt. mere om at anlægge sag m.v. </w:t>
            </w:r>
          </w:p>
          <w:p w:rsidR="0010223C" w:rsidRPr="00C628E7" w:rsidRDefault="0010223C" w:rsidP="004B21F0">
            <w:pPr>
              <w:pStyle w:val="Default"/>
              <w:rPr>
                <w:rFonts w:ascii="Verdana" w:hAnsi="Verdana" w:cs="Arial"/>
                <w:sz w:val="20"/>
                <w:szCs w:val="20"/>
              </w:rPr>
            </w:pPr>
          </w:p>
          <w:p w:rsidR="0010223C" w:rsidRPr="00C628E7" w:rsidRDefault="0010223C" w:rsidP="004B21F0">
            <w:pPr>
              <w:pStyle w:val="Default"/>
              <w:rPr>
                <w:rFonts w:ascii="Verdana" w:hAnsi="Verdana" w:cs="Arial"/>
                <w:sz w:val="20"/>
                <w:szCs w:val="20"/>
              </w:rPr>
            </w:pPr>
          </w:p>
        </w:tc>
      </w:tr>
      <w:tr w:rsidR="0010223C" w:rsidRPr="00C628E7" w:rsidTr="004B21F0">
        <w:trPr>
          <w:trHeight w:val="1092"/>
        </w:trPr>
        <w:tc>
          <w:tcPr>
            <w:tcW w:w="2376" w:type="dxa"/>
          </w:tcPr>
          <w:p w:rsidR="0010223C" w:rsidRPr="00C628E7" w:rsidRDefault="0010223C" w:rsidP="004B21F0">
            <w:pPr>
              <w:pStyle w:val="Default"/>
              <w:rPr>
                <w:rFonts w:ascii="Verdana" w:hAnsi="Verdana" w:cs="Arial"/>
                <w:b/>
                <w:sz w:val="20"/>
                <w:szCs w:val="20"/>
              </w:rPr>
            </w:pPr>
            <w:r w:rsidRPr="00C628E7">
              <w:rPr>
                <w:rFonts w:ascii="Verdana" w:hAnsi="Verdana" w:cs="Arial"/>
                <w:b/>
                <w:sz w:val="20"/>
                <w:szCs w:val="20"/>
              </w:rPr>
              <w:lastRenderedPageBreak/>
              <w:t xml:space="preserve">Klage til FN’s handicapkomite </w:t>
            </w:r>
          </w:p>
        </w:tc>
        <w:tc>
          <w:tcPr>
            <w:tcW w:w="7040" w:type="dxa"/>
          </w:tcPr>
          <w:p w:rsidR="0010223C" w:rsidRPr="00C628E7" w:rsidRDefault="0010223C" w:rsidP="004B21F0">
            <w:pPr>
              <w:pStyle w:val="Default"/>
              <w:rPr>
                <w:rFonts w:ascii="Verdana" w:hAnsi="Verdana" w:cs="Arial"/>
                <w:sz w:val="20"/>
                <w:szCs w:val="20"/>
              </w:rPr>
            </w:pPr>
            <w:r w:rsidRPr="00C628E7">
              <w:rPr>
                <w:rFonts w:ascii="Verdana" w:hAnsi="Verdana" w:cs="Arial"/>
                <w:sz w:val="20"/>
                <w:szCs w:val="20"/>
              </w:rPr>
              <w:t>Det fremgår bl.a. af tillægsprotokollen, at;</w:t>
            </w:r>
          </w:p>
          <w:p w:rsidR="0010223C" w:rsidRPr="00C628E7" w:rsidRDefault="0010223C" w:rsidP="0010223C">
            <w:pPr>
              <w:pStyle w:val="Default"/>
              <w:numPr>
                <w:ilvl w:val="0"/>
                <w:numId w:val="19"/>
              </w:numPr>
              <w:rPr>
                <w:rFonts w:ascii="Verdana" w:hAnsi="Verdana" w:cs="Arial"/>
                <w:sz w:val="20"/>
                <w:szCs w:val="20"/>
              </w:rPr>
            </w:pPr>
            <w:r w:rsidRPr="00C628E7">
              <w:rPr>
                <w:rFonts w:ascii="Verdana" w:hAnsi="Verdana" w:cs="Arial"/>
                <w:sz w:val="20"/>
                <w:szCs w:val="20"/>
              </w:rPr>
              <w:t xml:space="preserve">Alle retsmidler, der står til rådighed i hjemlandet, skal være udtømt (dette gælder dog ikke, hvor anvendelsen af retsmidlerne trækker urimeligt i langdrag, eller hvor det er usandsynligt, at de vil føre til en effektiv afhjælpning) (artikel 2), </w:t>
            </w:r>
          </w:p>
          <w:p w:rsidR="0010223C" w:rsidRPr="00C628E7" w:rsidRDefault="0010223C" w:rsidP="0010223C">
            <w:pPr>
              <w:pStyle w:val="Default"/>
              <w:numPr>
                <w:ilvl w:val="0"/>
                <w:numId w:val="19"/>
              </w:numPr>
              <w:rPr>
                <w:rFonts w:ascii="Verdana" w:hAnsi="Verdana" w:cs="Arial"/>
                <w:sz w:val="20"/>
                <w:szCs w:val="20"/>
              </w:rPr>
            </w:pPr>
            <w:r w:rsidRPr="00C628E7">
              <w:rPr>
                <w:rFonts w:ascii="Verdana" w:hAnsi="Verdana" w:cs="Arial"/>
                <w:sz w:val="20"/>
                <w:szCs w:val="20"/>
              </w:rPr>
              <w:t xml:space="preserve">Hvis komitéen modtager pålidelige oplysninger, som tilkendegiver, at en deltagerstat alvorligt eller systematisk krænker de i konventionen anførte rettigheder, skal komitéen opfordre den pågældende deltagerstat til at samarbejde ved undersøgelsen af oplysningerne m.v. (artikel 6.1), </w:t>
            </w:r>
          </w:p>
          <w:p w:rsidR="0010223C" w:rsidRPr="00C628E7" w:rsidRDefault="0010223C" w:rsidP="0010223C">
            <w:pPr>
              <w:pStyle w:val="Default"/>
              <w:numPr>
                <w:ilvl w:val="0"/>
                <w:numId w:val="19"/>
              </w:numPr>
              <w:rPr>
                <w:rFonts w:ascii="Verdana" w:hAnsi="Verdana" w:cs="Arial"/>
                <w:sz w:val="20"/>
                <w:szCs w:val="20"/>
              </w:rPr>
            </w:pPr>
            <w:r w:rsidRPr="00C628E7">
              <w:rPr>
                <w:rFonts w:ascii="Verdana" w:hAnsi="Verdana" w:cs="Arial"/>
                <w:sz w:val="20"/>
                <w:szCs w:val="20"/>
              </w:rPr>
              <w:t xml:space="preserve">Den pågældende deltagerstat skal inden seks måneder efter modtagelsen af de resultater, kommentarer og anbefalinger, som komitéen har videresendt, fremsende sine bemærkninger til komitéen (artikel 6.4). </w:t>
            </w:r>
          </w:p>
          <w:p w:rsidR="0010223C" w:rsidRPr="00C628E7" w:rsidRDefault="0010223C" w:rsidP="004B21F0">
            <w:pPr>
              <w:pStyle w:val="Default"/>
              <w:rPr>
                <w:rFonts w:ascii="Verdana" w:hAnsi="Verdana" w:cs="Arial"/>
                <w:sz w:val="20"/>
                <w:szCs w:val="20"/>
              </w:rPr>
            </w:pPr>
          </w:p>
          <w:p w:rsidR="0010223C" w:rsidRPr="00C628E7" w:rsidRDefault="0010223C" w:rsidP="004B21F0">
            <w:pPr>
              <w:pStyle w:val="Default"/>
              <w:rPr>
                <w:rFonts w:ascii="Verdana" w:hAnsi="Verdana" w:cs="Arial"/>
                <w:sz w:val="20"/>
                <w:szCs w:val="20"/>
              </w:rPr>
            </w:pPr>
          </w:p>
        </w:tc>
      </w:tr>
      <w:tr w:rsidR="0010223C" w:rsidRPr="00C628E7" w:rsidTr="004B21F0">
        <w:trPr>
          <w:trHeight w:val="434"/>
        </w:trPr>
        <w:tc>
          <w:tcPr>
            <w:tcW w:w="2376" w:type="dxa"/>
          </w:tcPr>
          <w:p w:rsidR="0010223C" w:rsidRPr="00C628E7" w:rsidRDefault="0010223C" w:rsidP="004B21F0">
            <w:pPr>
              <w:pStyle w:val="Default"/>
              <w:rPr>
                <w:rFonts w:ascii="Verdana" w:hAnsi="Verdana" w:cs="Arial"/>
                <w:b/>
                <w:sz w:val="20"/>
                <w:szCs w:val="20"/>
              </w:rPr>
            </w:pPr>
            <w:r w:rsidRPr="00C628E7">
              <w:rPr>
                <w:rFonts w:ascii="Verdana" w:hAnsi="Verdana" w:cs="Arial"/>
                <w:b/>
                <w:sz w:val="20"/>
                <w:szCs w:val="20"/>
              </w:rPr>
              <w:t xml:space="preserve">Klage til Datatilsynet </w:t>
            </w:r>
          </w:p>
        </w:tc>
        <w:tc>
          <w:tcPr>
            <w:tcW w:w="7040" w:type="dxa"/>
          </w:tcPr>
          <w:p w:rsidR="0010223C" w:rsidRPr="00C628E7" w:rsidRDefault="0010223C" w:rsidP="004B21F0">
            <w:pPr>
              <w:pStyle w:val="Default"/>
              <w:rPr>
                <w:rFonts w:ascii="Verdana" w:hAnsi="Verdana" w:cs="Arial"/>
                <w:sz w:val="20"/>
                <w:szCs w:val="20"/>
              </w:rPr>
            </w:pPr>
            <w:r w:rsidRPr="00C628E7">
              <w:rPr>
                <w:rFonts w:ascii="Verdana" w:hAnsi="Verdana" w:cs="Arial"/>
                <w:sz w:val="20"/>
                <w:szCs w:val="20"/>
              </w:rPr>
              <w:t xml:space="preserve">Det fremgår af Datatilsynets hjemmeside, at en borger f.eks. kan klage, hvis; </w:t>
            </w:r>
          </w:p>
          <w:p w:rsidR="0010223C" w:rsidRPr="00C628E7" w:rsidRDefault="0010223C" w:rsidP="0010223C">
            <w:pPr>
              <w:pStyle w:val="Default"/>
              <w:numPr>
                <w:ilvl w:val="0"/>
                <w:numId w:val="20"/>
              </w:numPr>
              <w:rPr>
                <w:rFonts w:ascii="Verdana" w:hAnsi="Verdana" w:cs="Arial"/>
                <w:sz w:val="20"/>
                <w:szCs w:val="20"/>
              </w:rPr>
            </w:pPr>
            <w:r w:rsidRPr="00C628E7">
              <w:rPr>
                <w:rFonts w:ascii="Verdana" w:hAnsi="Verdana" w:cs="Arial"/>
                <w:sz w:val="20"/>
                <w:szCs w:val="20"/>
              </w:rPr>
              <w:t xml:space="preserve">Borgeren ikke får de oplysninger, som borgeren har krav på efter reglerne om indsigt, </w:t>
            </w:r>
          </w:p>
          <w:p w:rsidR="0010223C" w:rsidRPr="00C628E7" w:rsidRDefault="0010223C" w:rsidP="0010223C">
            <w:pPr>
              <w:pStyle w:val="Default"/>
              <w:numPr>
                <w:ilvl w:val="0"/>
                <w:numId w:val="20"/>
              </w:numPr>
              <w:rPr>
                <w:rFonts w:ascii="Verdana" w:hAnsi="Verdana" w:cs="Arial"/>
                <w:sz w:val="20"/>
                <w:szCs w:val="20"/>
              </w:rPr>
            </w:pPr>
            <w:r w:rsidRPr="00C628E7">
              <w:rPr>
                <w:rFonts w:ascii="Verdana" w:hAnsi="Verdana" w:cs="Arial"/>
                <w:sz w:val="20"/>
                <w:szCs w:val="20"/>
              </w:rPr>
              <w:t xml:space="preserve">Der uretmæssigt er lagt oplysninger om borgeren ud på internettet, eller </w:t>
            </w:r>
          </w:p>
          <w:p w:rsidR="0010223C" w:rsidRPr="00C628E7" w:rsidRDefault="0010223C" w:rsidP="0010223C">
            <w:pPr>
              <w:pStyle w:val="Default"/>
              <w:numPr>
                <w:ilvl w:val="0"/>
                <w:numId w:val="20"/>
              </w:numPr>
              <w:rPr>
                <w:rFonts w:ascii="Verdana" w:hAnsi="Verdana" w:cs="Arial"/>
                <w:sz w:val="20"/>
                <w:szCs w:val="20"/>
              </w:rPr>
            </w:pPr>
            <w:r w:rsidRPr="00C628E7">
              <w:rPr>
                <w:rFonts w:ascii="Verdana" w:hAnsi="Verdana" w:cs="Arial"/>
                <w:sz w:val="20"/>
                <w:szCs w:val="20"/>
              </w:rPr>
              <w:t xml:space="preserve">Der uretmæssigt er blevet videregivet oplysninger om borgeren til en tredjeperson. </w:t>
            </w:r>
          </w:p>
          <w:p w:rsidR="0010223C" w:rsidRPr="00C628E7" w:rsidRDefault="0010223C" w:rsidP="004B21F0">
            <w:pPr>
              <w:pStyle w:val="Default"/>
              <w:rPr>
                <w:rFonts w:ascii="Verdana" w:hAnsi="Verdana" w:cs="Arial"/>
                <w:sz w:val="20"/>
                <w:szCs w:val="20"/>
              </w:rPr>
            </w:pPr>
          </w:p>
        </w:tc>
      </w:tr>
    </w:tbl>
    <w:p w:rsidR="0010223C" w:rsidRPr="00C628E7" w:rsidRDefault="0010223C" w:rsidP="0010223C">
      <w:pPr>
        <w:rPr>
          <w:rFonts w:ascii="Verdana" w:hAnsi="Verdana" w:cs="Arial"/>
          <w:sz w:val="20"/>
          <w:szCs w:val="20"/>
          <w:lang w:val="da-DK"/>
        </w:rPr>
      </w:pPr>
    </w:p>
    <w:p w:rsidR="0010223C" w:rsidRPr="00C628E7" w:rsidRDefault="0010223C" w:rsidP="0010223C">
      <w:pPr>
        <w:rPr>
          <w:rFonts w:ascii="Verdana" w:hAnsi="Verdana" w:cs="Arial"/>
          <w:sz w:val="20"/>
          <w:szCs w:val="20"/>
          <w:lang w:val="da-DK"/>
        </w:rPr>
      </w:pPr>
    </w:p>
    <w:p w:rsidR="0010223C" w:rsidRPr="00C628E7" w:rsidRDefault="0010223C" w:rsidP="0010223C">
      <w:pPr>
        <w:rPr>
          <w:rFonts w:ascii="Verdana" w:hAnsi="Verdana" w:cs="Arial"/>
          <w:sz w:val="20"/>
          <w:szCs w:val="20"/>
          <w:lang w:val="da-DK"/>
        </w:rPr>
      </w:pPr>
    </w:p>
    <w:p w:rsidR="0010223C" w:rsidRPr="00C628E7" w:rsidRDefault="0010223C" w:rsidP="0010223C">
      <w:pPr>
        <w:rPr>
          <w:rFonts w:ascii="Verdana" w:hAnsi="Verdana" w:cs="Arial"/>
          <w:sz w:val="20"/>
          <w:szCs w:val="20"/>
        </w:rPr>
      </w:pPr>
      <w:r w:rsidRPr="00C628E7">
        <w:rPr>
          <w:rFonts w:ascii="Verdana" w:hAnsi="Verdana" w:cs="Arial"/>
          <w:sz w:val="20"/>
          <w:szCs w:val="20"/>
        </w:rPr>
        <w:t>Patientvejleder/</w:t>
      </w:r>
    </w:p>
    <w:p w:rsidR="0010223C" w:rsidRPr="00C628E7" w:rsidRDefault="0010223C" w:rsidP="0010223C">
      <w:pPr>
        <w:rPr>
          <w:rFonts w:ascii="Verdana" w:hAnsi="Verdana" w:cs="Arial"/>
          <w:sz w:val="20"/>
          <w:szCs w:val="20"/>
        </w:rPr>
      </w:pPr>
      <w:r w:rsidRPr="00C628E7">
        <w:rPr>
          <w:rFonts w:ascii="Verdana" w:hAnsi="Verdana" w:cs="Arial"/>
          <w:sz w:val="20"/>
          <w:szCs w:val="20"/>
        </w:rPr>
        <w:t>Henriette Larsen</w:t>
      </w:r>
    </w:p>
    <w:p w:rsidR="008819C5" w:rsidRPr="00C628E7" w:rsidRDefault="008819C5" w:rsidP="008819C5">
      <w:pPr>
        <w:rPr>
          <w:rFonts w:ascii="Verdana" w:hAnsi="Verdana"/>
          <w:sz w:val="20"/>
          <w:szCs w:val="20"/>
          <w:lang w:val="da-DK"/>
        </w:rPr>
      </w:pPr>
    </w:p>
    <w:p w:rsidR="008819C5" w:rsidRPr="00C628E7" w:rsidRDefault="008819C5" w:rsidP="008819C5">
      <w:pPr>
        <w:rPr>
          <w:rFonts w:ascii="Verdana" w:hAnsi="Verdana" w:cs="Arial"/>
          <w:b/>
          <w:bCs/>
          <w:sz w:val="20"/>
          <w:szCs w:val="20"/>
          <w:lang w:val="da-DK"/>
        </w:rPr>
      </w:pPr>
    </w:p>
    <w:p w:rsidR="008819C5" w:rsidRPr="00C628E7" w:rsidRDefault="008819C5" w:rsidP="008819C5">
      <w:pPr>
        <w:rPr>
          <w:rFonts w:ascii="Verdana" w:hAnsi="Verdana" w:cs="Arial"/>
          <w:b/>
          <w:bCs/>
          <w:sz w:val="20"/>
          <w:szCs w:val="20"/>
          <w:lang w:val="da-DK"/>
        </w:rPr>
      </w:pPr>
    </w:p>
    <w:p w:rsidR="008819C5" w:rsidRPr="00C628E7" w:rsidRDefault="008819C5" w:rsidP="008819C5">
      <w:pPr>
        <w:rPr>
          <w:rFonts w:ascii="Verdana" w:hAnsi="Verdana" w:cs="Arial"/>
          <w:b/>
          <w:bCs/>
          <w:sz w:val="20"/>
          <w:szCs w:val="20"/>
          <w:lang w:val="da-DK"/>
        </w:rPr>
      </w:pPr>
    </w:p>
    <w:p w:rsidR="008819C5" w:rsidRPr="00C628E7" w:rsidRDefault="008819C5" w:rsidP="008819C5">
      <w:pPr>
        <w:rPr>
          <w:rFonts w:ascii="Verdana" w:hAnsi="Verdana" w:cs="Arial"/>
          <w:b/>
          <w:bCs/>
          <w:sz w:val="20"/>
          <w:szCs w:val="20"/>
          <w:lang w:val="da-DK"/>
        </w:rPr>
      </w:pPr>
    </w:p>
    <w:p w:rsidR="008819C5" w:rsidRPr="00C628E7" w:rsidRDefault="008819C5" w:rsidP="008819C5">
      <w:pPr>
        <w:rPr>
          <w:rFonts w:ascii="Verdana" w:hAnsi="Verdana" w:cs="Arial"/>
          <w:b/>
          <w:bCs/>
          <w:sz w:val="20"/>
          <w:szCs w:val="20"/>
          <w:lang w:val="da-DK"/>
        </w:rPr>
      </w:pPr>
    </w:p>
    <w:p w:rsidR="008819C5" w:rsidRPr="00C628E7" w:rsidRDefault="008819C5" w:rsidP="008819C5">
      <w:pPr>
        <w:rPr>
          <w:rFonts w:ascii="Verdana" w:hAnsi="Verdana" w:cs="Arial"/>
          <w:b/>
          <w:bCs/>
          <w:sz w:val="20"/>
          <w:szCs w:val="20"/>
          <w:lang w:val="da-DK"/>
        </w:rPr>
      </w:pPr>
    </w:p>
    <w:p w:rsidR="008819C5" w:rsidRPr="00C628E7" w:rsidRDefault="008819C5" w:rsidP="008819C5">
      <w:pPr>
        <w:rPr>
          <w:rFonts w:ascii="Verdana" w:hAnsi="Verdana" w:cs="Arial"/>
          <w:b/>
          <w:bCs/>
          <w:sz w:val="20"/>
          <w:szCs w:val="20"/>
          <w:lang w:val="da-DK"/>
        </w:rPr>
      </w:pPr>
    </w:p>
    <w:p w:rsidR="00D3756F" w:rsidRPr="00C628E7" w:rsidRDefault="00D3756F" w:rsidP="00085C24">
      <w:pPr>
        <w:rPr>
          <w:rFonts w:ascii="Verdana" w:hAnsi="Verdana" w:cs="Arial"/>
          <w:b/>
          <w:bCs/>
          <w:sz w:val="20"/>
          <w:szCs w:val="20"/>
          <w:lang w:val="da-DK"/>
        </w:rPr>
      </w:pPr>
    </w:p>
    <w:p w:rsidR="0010223C" w:rsidRPr="00C628E7" w:rsidRDefault="0010223C" w:rsidP="00085C24">
      <w:pPr>
        <w:rPr>
          <w:rFonts w:ascii="Verdana" w:hAnsi="Verdana" w:cs="Arial"/>
          <w:sz w:val="20"/>
          <w:szCs w:val="20"/>
        </w:rPr>
      </w:pPr>
    </w:p>
    <w:sectPr w:rsidR="0010223C" w:rsidRPr="00C628E7" w:rsidSect="006E3FB3">
      <w:headerReference w:type="even" r:id="rId8"/>
      <w:headerReference w:type="default" r:id="rId9"/>
      <w:footerReference w:type="even" r:id="rId10"/>
      <w:footerReference w:type="default" r:id="rId11"/>
      <w:headerReference w:type="first" r:id="rId12"/>
      <w:footerReference w:type="first" r:id="rId13"/>
      <w:pgSz w:w="11900" w:h="16840"/>
      <w:pgMar w:top="3827" w:right="1247" w:bottom="2126" w:left="1247"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FD" w:rsidRDefault="00FC36FD" w:rsidP="00B225B4">
      <w:r>
        <w:separator/>
      </w:r>
    </w:p>
  </w:endnote>
  <w:endnote w:type="continuationSeparator" w:id="0">
    <w:p w:rsidR="00FC36FD" w:rsidRDefault="00FC36FD" w:rsidP="00B2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8A" w:rsidRDefault="00BF428A" w:rsidP="00BF428A">
    <w:pPr>
      <w:widowControl w:val="0"/>
      <w:autoSpaceDE w:val="0"/>
      <w:autoSpaceDN w:val="0"/>
      <w:adjustRightInd w:val="0"/>
      <w:spacing w:line="288" w:lineRule="auto"/>
      <w:jc w:val="center"/>
      <w:rPr>
        <w:b/>
        <w:color w:val="7F7F7F"/>
        <w:sz w:val="14"/>
        <w:szCs w:val="14"/>
        <w:lang w:val="da-DK"/>
      </w:rPr>
    </w:pPr>
  </w:p>
  <w:p w:rsidR="00BF428A" w:rsidRDefault="00BF428A" w:rsidP="006E3FB3">
    <w:pPr>
      <w:widowControl w:val="0"/>
      <w:autoSpaceDE w:val="0"/>
      <w:autoSpaceDN w:val="0"/>
      <w:adjustRightInd w:val="0"/>
      <w:jc w:val="center"/>
      <w:rPr>
        <w:b/>
        <w:color w:val="7F7F7F"/>
        <w:sz w:val="14"/>
        <w:szCs w:val="14"/>
        <w:lang w:val="da-DK"/>
      </w:rPr>
    </w:pPr>
  </w:p>
  <w:p w:rsidR="00BF428A" w:rsidRPr="00BF428A" w:rsidRDefault="00BF428A" w:rsidP="006E3FB3">
    <w:pPr>
      <w:widowControl w:val="0"/>
      <w:autoSpaceDE w:val="0"/>
      <w:autoSpaceDN w:val="0"/>
      <w:adjustRightInd w:val="0"/>
      <w:jc w:val="center"/>
      <w:rPr>
        <w:rFonts w:ascii="Verdana" w:hAnsi="Verdana"/>
        <w:b/>
        <w:color w:val="7F7F7F"/>
        <w:sz w:val="14"/>
        <w:szCs w:val="14"/>
        <w:lang w:val="da-DK"/>
      </w:rPr>
    </w:pPr>
    <w:r w:rsidRPr="00BF428A">
      <w:rPr>
        <w:rFonts w:ascii="Verdana" w:hAnsi="Verdana"/>
        <w:b/>
        <w:color w:val="7F7F7F"/>
        <w:sz w:val="14"/>
        <w:szCs w:val="14"/>
        <w:lang w:val="da-DK"/>
      </w:rPr>
      <w:t>FILADELFIA - Epilepsihospital og sociale døgn- og dagtilbud</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r w:rsidRPr="00BF428A">
      <w:rPr>
        <w:rFonts w:ascii="Verdana" w:hAnsi="Verdana"/>
        <w:b/>
        <w:color w:val="7F7F7F"/>
        <w:sz w:val="14"/>
        <w:szCs w:val="14"/>
        <w:lang w:val="da-DK"/>
      </w:rPr>
      <w:t xml:space="preserve"> – </w:t>
    </w:r>
    <w:r w:rsidRPr="00BF428A">
      <w:rPr>
        <w:rFonts w:ascii="Verdana" w:hAnsi="Verdana"/>
        <w:color w:val="7F7F7F"/>
        <w:sz w:val="14"/>
        <w:szCs w:val="14"/>
        <w:lang w:val="da-DK"/>
      </w:rPr>
      <w:t>til mennesker med epilepsi, erhvervet hjerneskade og søvnforstyrrelse</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p>
  <w:p w:rsidR="00BF428A" w:rsidRPr="00BF428A" w:rsidRDefault="00BF428A" w:rsidP="00BF428A">
    <w:pPr>
      <w:jc w:val="center"/>
      <w:rPr>
        <w:rFonts w:ascii="Verdana" w:hAnsi="Verdana"/>
        <w:lang w:val="da-DK"/>
      </w:rPr>
    </w:pPr>
    <w:r w:rsidRPr="00BF428A">
      <w:rPr>
        <w:rFonts w:ascii="Verdana" w:hAnsi="Verdana"/>
        <w:color w:val="7F7F7F"/>
        <w:sz w:val="14"/>
        <w:lang w:val="da-DK"/>
      </w:rPr>
      <w:t xml:space="preserve">Kolonivej 1 </w:t>
    </w:r>
    <w:r w:rsidRPr="00BF428A">
      <w:rPr>
        <w:rFonts w:ascii="Verdana" w:hAnsi="Verdana" w:cs="Tahoma"/>
        <w:color w:val="7F7F7F"/>
        <w:sz w:val="14"/>
        <w:szCs w:val="14"/>
        <w:lang w:val="da-DK"/>
      </w:rPr>
      <w:t>•</w:t>
    </w:r>
    <w:r w:rsidRPr="00BF428A">
      <w:rPr>
        <w:rFonts w:ascii="Verdana" w:hAnsi="Verdana"/>
        <w:color w:val="7F7F7F"/>
        <w:sz w:val="14"/>
        <w:lang w:val="da-DK"/>
      </w:rPr>
      <w:t xml:space="preserve"> 4293 Dianalund </w:t>
    </w:r>
    <w:r w:rsidRPr="00BF428A">
      <w:rPr>
        <w:rFonts w:ascii="Verdana" w:hAnsi="Verdana" w:cs="Tahoma"/>
        <w:color w:val="7F7F7F"/>
        <w:sz w:val="14"/>
        <w:szCs w:val="14"/>
        <w:lang w:val="da-DK"/>
      </w:rPr>
      <w:t>•</w:t>
    </w:r>
    <w:r w:rsidRPr="00BF428A">
      <w:rPr>
        <w:rFonts w:ascii="Verdana" w:hAnsi="Verdana"/>
        <w:color w:val="7F7F7F"/>
        <w:sz w:val="14"/>
        <w:lang w:val="da-DK"/>
      </w:rPr>
      <w:t xml:space="preserve"> Telefon 58 26 42 00 </w:t>
    </w:r>
    <w:r w:rsidRPr="00BF428A">
      <w:rPr>
        <w:rFonts w:ascii="Verdana" w:hAnsi="Verdana" w:cs="Tahoma"/>
        <w:color w:val="7F7F7F"/>
        <w:sz w:val="14"/>
        <w:szCs w:val="14"/>
        <w:lang w:val="da-DK"/>
      </w:rPr>
      <w:t>•</w:t>
    </w:r>
    <w:r w:rsidRPr="00BF428A">
      <w:rPr>
        <w:rFonts w:ascii="Verdana" w:hAnsi="Verdana"/>
        <w:color w:val="7F7F7F"/>
        <w:sz w:val="14"/>
        <w:lang w:val="da-DK"/>
      </w:rPr>
      <w:t xml:space="preserve"> www.filadelfia.dk</w:t>
    </w:r>
  </w:p>
  <w:p w:rsidR="00AB72B6" w:rsidRDefault="00AB72B6" w:rsidP="00797A0F">
    <w:pPr>
      <w:pStyle w:val="Sidefod"/>
      <w:jc w:val="right"/>
    </w:pPr>
    <w:r>
      <w:rPr>
        <w:noProof/>
        <w:lang w:val="da-DK"/>
      </w:rPr>
      <mc:AlternateContent>
        <mc:Choice Requires="wps">
          <w:drawing>
            <wp:anchor distT="0" distB="0" distL="114300" distR="114300" simplePos="0" relativeHeight="251656192" behindDoc="0" locked="0" layoutInCell="1" allowOverlap="1" wp14:anchorId="5D728A66" wp14:editId="0E344D84">
              <wp:simplePos x="0" y="0"/>
              <wp:positionH relativeFrom="column">
                <wp:posOffset>-783590</wp:posOffset>
              </wp:positionH>
              <wp:positionV relativeFrom="paragraph">
                <wp:posOffset>196850</wp:posOffset>
              </wp:positionV>
              <wp:extent cx="7538085" cy="339725"/>
              <wp:effectExtent l="0" t="0" r="5715" b="0"/>
              <wp:wrapThrough wrapText="bothSides">
                <wp:wrapPolygon edited="0">
                  <wp:start x="0" y="0"/>
                  <wp:lineTo x="0" y="19379"/>
                  <wp:lineTo x="21544" y="19379"/>
                  <wp:lineTo x="2154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3972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C628E7">
                            <w:rPr>
                              <w:rFonts w:ascii="Verdana" w:hAnsi="Verdana"/>
                              <w:noProof/>
                              <w:sz w:val="16"/>
                              <w:szCs w:val="16"/>
                            </w:rPr>
                            <w:t>1</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C628E7">
                            <w:rPr>
                              <w:rFonts w:ascii="Verdana" w:hAnsi="Verdana"/>
                              <w:noProof/>
                              <w:sz w:val="16"/>
                              <w:szCs w:val="16"/>
                            </w:rPr>
                            <w:t>4</w:t>
                          </w:r>
                          <w:r w:rsidRPr="002418B3">
                            <w:rPr>
                              <w:rFonts w:ascii="Verdana" w:hAnsi="Verdana"/>
                              <w:sz w:val="16"/>
                              <w:szCs w:val="16"/>
                            </w:rPr>
                            <w:fldChar w:fldCharType="end"/>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28A66" id="_x0000_t202" coordsize="21600,21600" o:spt="202" path="m,l,21600r21600,l21600,xe">
              <v:stroke joinstyle="miter"/>
              <v:path gradientshapeok="t" o:connecttype="rect"/>
            </v:shapetype>
            <v:shape id="Text Box 4" o:spid="_x0000_s1027" type="#_x0000_t202" style="position:absolute;left:0;text-align:left;margin-left:-61.7pt;margin-top:15.5pt;width:593.55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" filled="f" stroked="f">
              <v:textbox inset="2.88pt,2.88pt,2.88pt,2.88pt">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C628E7">
                      <w:rPr>
                        <w:rFonts w:ascii="Verdana" w:hAnsi="Verdana"/>
                        <w:noProof/>
                        <w:sz w:val="16"/>
                        <w:szCs w:val="16"/>
                      </w:rPr>
                      <w:t>1</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C628E7">
                      <w:rPr>
                        <w:rFonts w:ascii="Verdana" w:hAnsi="Verdana"/>
                        <w:noProof/>
                        <w:sz w:val="16"/>
                        <w:szCs w:val="16"/>
                      </w:rPr>
                      <w:t>4</w:t>
                    </w:r>
                    <w:r w:rsidRPr="002418B3">
                      <w:rPr>
                        <w:rFonts w:ascii="Verdana" w:hAnsi="Verdana"/>
                        <w:sz w:val="16"/>
                        <w:szCs w:val="16"/>
                      </w:rPr>
                      <w:fldChar w:fldCharType="end"/>
                    </w: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FD" w:rsidRDefault="00FC36FD" w:rsidP="00B225B4">
      <w:r>
        <w:separator/>
      </w:r>
    </w:p>
  </w:footnote>
  <w:footnote w:type="continuationSeparator" w:id="0">
    <w:p w:rsidR="00FC36FD" w:rsidRDefault="00FC36FD" w:rsidP="00B2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B6" w:rsidRDefault="00AB72B6">
    <w:pPr>
      <w:pStyle w:val="Sidehoved"/>
    </w:pPr>
    <w:r w:rsidRPr="009F2A67">
      <w:rPr>
        <w:noProof/>
        <w:lang w:val="da-DK"/>
      </w:rPr>
      <mc:AlternateContent>
        <mc:Choice Requires="wps">
          <w:drawing>
            <wp:anchor distT="0" distB="0" distL="114300" distR="114300" simplePos="0" relativeHeight="251658240" behindDoc="0" locked="0" layoutInCell="1" allowOverlap="1" wp14:anchorId="37C412E7" wp14:editId="7815F265">
              <wp:simplePos x="0" y="0"/>
              <wp:positionH relativeFrom="column">
                <wp:posOffset>4110990</wp:posOffset>
              </wp:positionH>
              <wp:positionV relativeFrom="paragraph">
                <wp:posOffset>-179070</wp:posOffset>
              </wp:positionV>
              <wp:extent cx="2378710" cy="1600200"/>
              <wp:effectExtent l="0" t="0" r="0" b="0"/>
              <wp:wrapNone/>
              <wp:docPr id="16" name="Tekstfelt 16"/>
              <wp:cNvGraphicFramePr/>
              <a:graphic xmlns:a="http://schemas.openxmlformats.org/drawingml/2006/main">
                <a:graphicData uri="http://schemas.microsoft.com/office/word/2010/wordprocessingShape">
                  <wps:wsp>
                    <wps:cNvSpPr txBox="1"/>
                    <wps:spPr>
                      <a:xfrm>
                        <a:off x="0" y="0"/>
                        <a:ext cx="237871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C412E7" id="_x0000_t202" coordsize="21600,21600" o:spt="202" path="m,l,21600r21600,l21600,xe">
              <v:stroke joinstyle="miter"/>
              <v:path gradientshapeok="t" o:connecttype="rect"/>
            </v:shapetype>
            <v:shape id="Tekstfelt 16" o:spid="_x0000_s1026" type="#_x0000_t202" style="position:absolute;margin-left:323.7pt;margin-top:-14.1pt;width:187.3pt;height:12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" filled="f" stroked="f">
              <v:textbo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v:textbox>
            </v:shape>
          </w:pict>
        </mc:Fallback>
      </mc:AlternateContent>
    </w:r>
    <w:r w:rsidRPr="009F2A67">
      <w:rPr>
        <w:noProof/>
        <w:lang w:val="da-DK"/>
      </w:rPr>
      <mc:AlternateContent>
        <mc:Choice Requires="wps">
          <w:drawing>
            <wp:anchor distT="0" distB="0" distL="114300" distR="114300" simplePos="0" relativeHeight="251660288" behindDoc="0" locked="0" layoutInCell="1" allowOverlap="1" wp14:anchorId="7D00FBA8" wp14:editId="29C35CAF">
              <wp:simplePos x="0" y="0"/>
              <wp:positionH relativeFrom="column">
                <wp:posOffset>-859155</wp:posOffset>
              </wp:positionH>
              <wp:positionV relativeFrom="paragraph">
                <wp:posOffset>-457835</wp:posOffset>
              </wp:positionV>
              <wp:extent cx="7857067" cy="202353"/>
              <wp:effectExtent l="0" t="0" r="0" b="1270"/>
              <wp:wrapNone/>
              <wp:docPr id="1" name="Rektangel 1"/>
              <wp:cNvGraphicFramePr/>
              <a:graphic xmlns:a="http://schemas.openxmlformats.org/drawingml/2006/main">
                <a:graphicData uri="http://schemas.microsoft.com/office/word/2010/wordprocessingShape">
                  <wps:wsp>
                    <wps:cNvSpPr/>
                    <wps:spPr>
                      <a:xfrm>
                        <a:off x="0" y="0"/>
                        <a:ext cx="7857067" cy="202353"/>
                      </a:xfrm>
                      <a:prstGeom prst="rect">
                        <a:avLst/>
                      </a:prstGeom>
                      <a:solidFill>
                        <a:srgbClr val="7A9A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9161" id="Rektangel 1" o:spid="_x0000_s1026" style="position:absolute;margin-left:-67.65pt;margin-top:-36.05pt;width:618.6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" fillcolor="#7a9a25"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7F2"/>
    <w:multiLevelType w:val="hybridMultilevel"/>
    <w:tmpl w:val="3502E4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264D04"/>
    <w:multiLevelType w:val="hybridMultilevel"/>
    <w:tmpl w:val="A412D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5F0FE2"/>
    <w:multiLevelType w:val="hybridMultilevel"/>
    <w:tmpl w:val="0910F8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B130437"/>
    <w:multiLevelType w:val="hybridMultilevel"/>
    <w:tmpl w:val="DCE03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5A2F9C"/>
    <w:multiLevelType w:val="multilevel"/>
    <w:tmpl w:val="5174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71B5F"/>
    <w:multiLevelType w:val="hybridMultilevel"/>
    <w:tmpl w:val="64FEE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501F04"/>
    <w:multiLevelType w:val="hybridMultilevel"/>
    <w:tmpl w:val="486A5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6427C5"/>
    <w:multiLevelType w:val="hybridMultilevel"/>
    <w:tmpl w:val="C9FE8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E3029E"/>
    <w:multiLevelType w:val="hybridMultilevel"/>
    <w:tmpl w:val="276479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A034635"/>
    <w:multiLevelType w:val="hybridMultilevel"/>
    <w:tmpl w:val="4EC67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944675"/>
    <w:multiLevelType w:val="hybridMultilevel"/>
    <w:tmpl w:val="5FF819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AB5453D"/>
    <w:multiLevelType w:val="multilevel"/>
    <w:tmpl w:val="07F4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42612"/>
    <w:multiLevelType w:val="hybridMultilevel"/>
    <w:tmpl w:val="861200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BB63B9B"/>
    <w:multiLevelType w:val="hybridMultilevel"/>
    <w:tmpl w:val="B1C2E6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4FB93A2F"/>
    <w:multiLevelType w:val="multilevel"/>
    <w:tmpl w:val="CE6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22FBF"/>
    <w:multiLevelType w:val="hybridMultilevel"/>
    <w:tmpl w:val="96E8B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C44E4B"/>
    <w:multiLevelType w:val="hybridMultilevel"/>
    <w:tmpl w:val="8D521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CF73537"/>
    <w:multiLevelType w:val="hybridMultilevel"/>
    <w:tmpl w:val="789215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68F84A36"/>
    <w:multiLevelType w:val="hybridMultilevel"/>
    <w:tmpl w:val="A00685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748B5740"/>
    <w:multiLevelType w:val="multilevel"/>
    <w:tmpl w:val="D3D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8"/>
  </w:num>
  <w:num w:numId="4">
    <w:abstractNumId w:val="17"/>
  </w:num>
  <w:num w:numId="5">
    <w:abstractNumId w:val="8"/>
  </w:num>
  <w:num w:numId="6">
    <w:abstractNumId w:val="0"/>
  </w:num>
  <w:num w:numId="7">
    <w:abstractNumId w:val="2"/>
  </w:num>
  <w:num w:numId="8">
    <w:abstractNumId w:val="12"/>
  </w:num>
  <w:num w:numId="9">
    <w:abstractNumId w:val="15"/>
  </w:num>
  <w:num w:numId="10">
    <w:abstractNumId w:val="16"/>
  </w:num>
  <w:num w:numId="11">
    <w:abstractNumId w:val="4"/>
  </w:num>
  <w:num w:numId="12">
    <w:abstractNumId w:val="5"/>
  </w:num>
  <w:num w:numId="13">
    <w:abstractNumId w:val="19"/>
  </w:num>
  <w:num w:numId="14">
    <w:abstractNumId w:val="13"/>
  </w:num>
  <w:num w:numId="15">
    <w:abstractNumId w:val="14"/>
  </w:num>
  <w:num w:numId="16">
    <w:abstractNumId w:val="1"/>
  </w:num>
  <w:num w:numId="17">
    <w:abstractNumId w:val="3"/>
  </w:num>
  <w:num w:numId="18">
    <w:abstractNumId w:val="6"/>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FD"/>
    <w:rsid w:val="00002459"/>
    <w:rsid w:val="0000726B"/>
    <w:rsid w:val="00032AFD"/>
    <w:rsid w:val="00037EEF"/>
    <w:rsid w:val="00074618"/>
    <w:rsid w:val="00085C24"/>
    <w:rsid w:val="000B2869"/>
    <w:rsid w:val="0010223C"/>
    <w:rsid w:val="00141972"/>
    <w:rsid w:val="001642D9"/>
    <w:rsid w:val="001B3601"/>
    <w:rsid w:val="001E0648"/>
    <w:rsid w:val="00215AE4"/>
    <w:rsid w:val="00220F31"/>
    <w:rsid w:val="00224E69"/>
    <w:rsid w:val="002418B3"/>
    <w:rsid w:val="0024740A"/>
    <w:rsid w:val="00251B86"/>
    <w:rsid w:val="00260FE7"/>
    <w:rsid w:val="002B09CF"/>
    <w:rsid w:val="003055B4"/>
    <w:rsid w:val="00320E30"/>
    <w:rsid w:val="0034145B"/>
    <w:rsid w:val="00353E8E"/>
    <w:rsid w:val="00355184"/>
    <w:rsid w:val="00391CB9"/>
    <w:rsid w:val="003A4CAC"/>
    <w:rsid w:val="004028F8"/>
    <w:rsid w:val="00434BA7"/>
    <w:rsid w:val="004357EE"/>
    <w:rsid w:val="00474868"/>
    <w:rsid w:val="004B152F"/>
    <w:rsid w:val="004C2769"/>
    <w:rsid w:val="004D7B35"/>
    <w:rsid w:val="00531EDC"/>
    <w:rsid w:val="00544E70"/>
    <w:rsid w:val="005511F3"/>
    <w:rsid w:val="00565368"/>
    <w:rsid w:val="00570579"/>
    <w:rsid w:val="00596206"/>
    <w:rsid w:val="005C5AA0"/>
    <w:rsid w:val="005D0D65"/>
    <w:rsid w:val="005E430F"/>
    <w:rsid w:val="005F2CBF"/>
    <w:rsid w:val="0060615E"/>
    <w:rsid w:val="0064152D"/>
    <w:rsid w:val="0064250D"/>
    <w:rsid w:val="0068468E"/>
    <w:rsid w:val="00686579"/>
    <w:rsid w:val="006C562D"/>
    <w:rsid w:val="006E3FB3"/>
    <w:rsid w:val="006E5196"/>
    <w:rsid w:val="00797A0F"/>
    <w:rsid w:val="007A0AFE"/>
    <w:rsid w:val="007B292E"/>
    <w:rsid w:val="007B67DE"/>
    <w:rsid w:val="00841EDF"/>
    <w:rsid w:val="008463C5"/>
    <w:rsid w:val="0085153E"/>
    <w:rsid w:val="00861733"/>
    <w:rsid w:val="00864C99"/>
    <w:rsid w:val="008819C5"/>
    <w:rsid w:val="008838A3"/>
    <w:rsid w:val="008F31AB"/>
    <w:rsid w:val="00903119"/>
    <w:rsid w:val="00971B7D"/>
    <w:rsid w:val="00980E6A"/>
    <w:rsid w:val="009B7512"/>
    <w:rsid w:val="009D5F2E"/>
    <w:rsid w:val="009F2A67"/>
    <w:rsid w:val="00A624EA"/>
    <w:rsid w:val="00A91219"/>
    <w:rsid w:val="00AB72B6"/>
    <w:rsid w:val="00AC1461"/>
    <w:rsid w:val="00AD22D6"/>
    <w:rsid w:val="00AD4B0A"/>
    <w:rsid w:val="00B01088"/>
    <w:rsid w:val="00B20048"/>
    <w:rsid w:val="00B225B4"/>
    <w:rsid w:val="00B40E2D"/>
    <w:rsid w:val="00B55F3C"/>
    <w:rsid w:val="00B5637C"/>
    <w:rsid w:val="00BD0F77"/>
    <w:rsid w:val="00BE7524"/>
    <w:rsid w:val="00BF428A"/>
    <w:rsid w:val="00C119DA"/>
    <w:rsid w:val="00C21B58"/>
    <w:rsid w:val="00C36D44"/>
    <w:rsid w:val="00C526AB"/>
    <w:rsid w:val="00C5695D"/>
    <w:rsid w:val="00C628E7"/>
    <w:rsid w:val="00CA13DC"/>
    <w:rsid w:val="00CD09F5"/>
    <w:rsid w:val="00D00733"/>
    <w:rsid w:val="00D360F5"/>
    <w:rsid w:val="00D3756F"/>
    <w:rsid w:val="00D51556"/>
    <w:rsid w:val="00D74642"/>
    <w:rsid w:val="00DA040F"/>
    <w:rsid w:val="00DC5DD5"/>
    <w:rsid w:val="00DE220F"/>
    <w:rsid w:val="00E220D9"/>
    <w:rsid w:val="00E26F7F"/>
    <w:rsid w:val="00E33DB2"/>
    <w:rsid w:val="00E55179"/>
    <w:rsid w:val="00E570C7"/>
    <w:rsid w:val="00E7125E"/>
    <w:rsid w:val="00E9275C"/>
    <w:rsid w:val="00E9388A"/>
    <w:rsid w:val="00F000D2"/>
    <w:rsid w:val="00F41C7F"/>
    <w:rsid w:val="00F43F5D"/>
    <w:rsid w:val="00F55966"/>
    <w:rsid w:val="00F63199"/>
    <w:rsid w:val="00FC36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32BE7A74-21C3-485C-BA00-E7965FEB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Overskrift1">
    <w:name w:val="heading 1"/>
    <w:basedOn w:val="Normal"/>
    <w:next w:val="Normal"/>
    <w:link w:val="Overskrift1Tegn"/>
    <w:uiPriority w:val="9"/>
    <w:qFormat/>
    <w:rsid w:val="00C36D44"/>
    <w:pPr>
      <w:keepNext/>
      <w:spacing w:line="240" w:lineRule="atLeast"/>
      <w:outlineLvl w:val="0"/>
    </w:pPr>
    <w:rPr>
      <w:rFonts w:ascii="Verdana" w:eastAsia="Times New Roman" w:hAnsi="Verdana" w:cs="Arial"/>
      <w:b/>
      <w:bCs/>
      <w:kern w:val="32"/>
      <w:sz w:val="22"/>
      <w:szCs w:val="32"/>
      <w:lang w:val="da-DK"/>
    </w:rPr>
  </w:style>
  <w:style w:type="paragraph" w:styleId="Overskrift4">
    <w:name w:val="heading 4"/>
    <w:basedOn w:val="Normal"/>
    <w:next w:val="Normal"/>
    <w:link w:val="Overskrift4Tegn"/>
    <w:uiPriority w:val="9"/>
    <w:semiHidden/>
    <w:unhideWhenUsed/>
    <w:qFormat/>
    <w:rsid w:val="008819C5"/>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44E70"/>
  </w:style>
  <w:style w:type="paragraph" w:styleId="Sidehoved">
    <w:name w:val="header"/>
    <w:basedOn w:val="Normal"/>
    <w:link w:val="SidehovedTegn"/>
    <w:uiPriority w:val="99"/>
    <w:unhideWhenUsed/>
    <w:rsid w:val="00B225B4"/>
    <w:pPr>
      <w:tabs>
        <w:tab w:val="center" w:pos="4819"/>
        <w:tab w:val="right" w:pos="9638"/>
      </w:tabs>
    </w:pPr>
  </w:style>
  <w:style w:type="character" w:customStyle="1" w:styleId="SidehovedTegn">
    <w:name w:val="Sidehoved Tegn"/>
    <w:basedOn w:val="Standardskrifttypeiafsnit"/>
    <w:link w:val="Sidehoved"/>
    <w:uiPriority w:val="99"/>
    <w:rsid w:val="00B225B4"/>
    <w:rPr>
      <w:lang w:val="en-US"/>
    </w:rPr>
  </w:style>
  <w:style w:type="paragraph" w:styleId="Sidefod">
    <w:name w:val="footer"/>
    <w:basedOn w:val="Normal"/>
    <w:link w:val="SidefodTegn"/>
    <w:unhideWhenUsed/>
    <w:rsid w:val="00B225B4"/>
    <w:pPr>
      <w:tabs>
        <w:tab w:val="center" w:pos="4819"/>
        <w:tab w:val="right" w:pos="9638"/>
      </w:tabs>
    </w:pPr>
  </w:style>
  <w:style w:type="character" w:customStyle="1" w:styleId="SidefodTegn">
    <w:name w:val="Sidefod Tegn"/>
    <w:basedOn w:val="Standardskrifttypeiafsnit"/>
    <w:link w:val="Sidefod"/>
    <w:uiPriority w:val="99"/>
    <w:rsid w:val="00B225B4"/>
    <w:rPr>
      <w:lang w:val="en-US"/>
    </w:rPr>
  </w:style>
  <w:style w:type="paragraph" w:styleId="Markeringsbobletekst">
    <w:name w:val="Balloon Text"/>
    <w:basedOn w:val="Normal"/>
    <w:link w:val="MarkeringsbobletekstTegn"/>
    <w:uiPriority w:val="99"/>
    <w:semiHidden/>
    <w:unhideWhenUsed/>
    <w:rsid w:val="009B751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B7512"/>
    <w:rPr>
      <w:rFonts w:ascii="Lucida Grande" w:hAnsi="Lucida Grande" w:cs="Lucida Grande"/>
      <w:sz w:val="18"/>
      <w:szCs w:val="18"/>
      <w:lang w:val="en-US"/>
    </w:rPr>
  </w:style>
  <w:style w:type="table" w:styleId="Tabel-Gitter">
    <w:name w:val="Table Grid"/>
    <w:basedOn w:val="Tabel-Normal"/>
    <w:rsid w:val="00C5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36D44"/>
    <w:rPr>
      <w:rFonts w:ascii="Verdana" w:eastAsia="Times New Roman" w:hAnsi="Verdana" w:cs="Arial"/>
      <w:b/>
      <w:bCs/>
      <w:kern w:val="32"/>
      <w:sz w:val="22"/>
      <w:szCs w:val="32"/>
    </w:rPr>
  </w:style>
  <w:style w:type="paragraph" w:customStyle="1" w:styleId="Default">
    <w:name w:val="Default"/>
    <w:rsid w:val="00F63199"/>
    <w:pPr>
      <w:autoSpaceDE w:val="0"/>
      <w:autoSpaceDN w:val="0"/>
      <w:adjustRightInd w:val="0"/>
    </w:pPr>
    <w:rPr>
      <w:rFonts w:ascii="Calibri" w:eastAsiaTheme="minorHAnsi" w:hAnsi="Calibri" w:cs="Calibri"/>
      <w:color w:val="000000"/>
      <w:lang w:eastAsia="en-US"/>
    </w:rPr>
  </w:style>
  <w:style w:type="character" w:customStyle="1" w:styleId="st1">
    <w:name w:val="st1"/>
    <w:basedOn w:val="Standardskrifttypeiafsnit"/>
    <w:rsid w:val="00F63199"/>
  </w:style>
  <w:style w:type="paragraph" w:styleId="Listeafsnit">
    <w:name w:val="List Paragraph"/>
    <w:basedOn w:val="Normal"/>
    <w:uiPriority w:val="34"/>
    <w:qFormat/>
    <w:rsid w:val="00DA040F"/>
    <w:pPr>
      <w:spacing w:after="160" w:line="259" w:lineRule="auto"/>
      <w:ind w:left="720"/>
      <w:contextualSpacing/>
    </w:pPr>
    <w:rPr>
      <w:rFonts w:eastAsiaTheme="minorHAnsi"/>
      <w:sz w:val="22"/>
      <w:szCs w:val="22"/>
      <w:lang w:val="da-DK" w:eastAsia="en-US"/>
    </w:rPr>
  </w:style>
  <w:style w:type="character" w:styleId="Hyperlink">
    <w:name w:val="Hyperlink"/>
    <w:basedOn w:val="Standardskrifttypeiafsnit"/>
    <w:uiPriority w:val="99"/>
    <w:semiHidden/>
    <w:unhideWhenUsed/>
    <w:rsid w:val="00355184"/>
    <w:rPr>
      <w:color w:val="0563C1"/>
      <w:u w:val="single"/>
    </w:rPr>
  </w:style>
  <w:style w:type="character" w:customStyle="1" w:styleId="Overskrift4Tegn">
    <w:name w:val="Overskrift 4 Tegn"/>
    <w:basedOn w:val="Standardskrifttypeiafsnit"/>
    <w:link w:val="Overskrift4"/>
    <w:uiPriority w:val="9"/>
    <w:semiHidden/>
    <w:rsid w:val="008819C5"/>
    <w:rPr>
      <w:rFonts w:asciiTheme="majorHAnsi" w:eastAsiaTheme="majorEastAsia" w:hAnsiTheme="majorHAnsi" w:cstheme="majorBidi"/>
      <w:i/>
      <w:iCs/>
      <w:color w:val="365F91" w:themeColor="accent1" w:themeShade="BF"/>
      <w:sz w:val="22"/>
      <w:szCs w:val="22"/>
      <w:lang w:eastAsia="en-US"/>
    </w:rPr>
  </w:style>
  <w:style w:type="paragraph" w:styleId="NormalWeb">
    <w:name w:val="Normal (Web)"/>
    <w:basedOn w:val="Normal"/>
    <w:uiPriority w:val="99"/>
    <w:semiHidden/>
    <w:unhideWhenUsed/>
    <w:rsid w:val="008819C5"/>
    <w:pPr>
      <w:spacing w:before="100" w:beforeAutospacing="1" w:after="100" w:afterAutospacing="1"/>
    </w:pPr>
    <w:rPr>
      <w:rFonts w:ascii="Times New Roman" w:eastAsia="Times New Roman" w:hAnsi="Times New Roman"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Pjecer%20fra%20alle%20steder\afg&#248;relse%20om%20specialundervisning%20m.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4E30-E0FA-429A-BD97-E47F5687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afgørelse om specialundervisning m.v.</Template>
  <TotalTime>0</TotalTime>
  <Pages>4</Pages>
  <Words>700</Words>
  <Characters>4276</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ByHerskind</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Merete Hesselholdt Larsen</dc:creator>
  <cp:lastModifiedBy>Henriette Merete Hesselholdt Larsen</cp:lastModifiedBy>
  <cp:revision>2</cp:revision>
  <cp:lastPrinted>2014-07-10T12:58:00Z</cp:lastPrinted>
  <dcterms:created xsi:type="dcterms:W3CDTF">2019-03-18T09:55:00Z</dcterms:created>
  <dcterms:modified xsi:type="dcterms:W3CDTF">2019-03-18T09:55:00Z</dcterms:modified>
</cp:coreProperties>
</file>